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F4061" w14:textId="6AEFF24B" w:rsidR="00B061B3" w:rsidRDefault="00B061B3" w:rsidP="00B061B3">
      <w:pPr>
        <w:pStyle w:val="En-tte"/>
      </w:pPr>
      <w:r>
        <w:t>Cours interentreprises, bloc 2</w:t>
      </w:r>
    </w:p>
    <w:p w14:paraId="30E5906C" w14:textId="373C600F" w:rsidR="00B061B3" w:rsidRPr="00B061B3" w:rsidRDefault="00B061B3" w:rsidP="00B061B3">
      <w:pPr>
        <w:pStyle w:val="En-tte"/>
      </w:pPr>
      <w:r>
        <w:t xml:space="preserve">Journée de présence 7 – situation de travail 11 : « </w:t>
      </w:r>
      <w:r w:rsidR="00F0152C">
        <w:t>O</w:t>
      </w:r>
      <w:r>
        <w:t>rganiser des élections et des votations »</w:t>
      </w:r>
    </w:p>
    <w:p w14:paraId="71E24823" w14:textId="198E64B1" w:rsidR="00DA6088" w:rsidRDefault="003A1122" w:rsidP="009F5591">
      <w:pPr>
        <w:pStyle w:val="Titre"/>
      </w:pPr>
      <w:r>
        <w:t>Approfondissement sur l’organisation d’élections et de votations</w:t>
      </w:r>
    </w:p>
    <w:p w14:paraId="065E81C8" w14:textId="77777777" w:rsidR="008D65D6" w:rsidRDefault="008D65D6" w:rsidP="002D4165">
      <w:pPr>
        <w:pStyle w:val="Titre1"/>
      </w:pPr>
    </w:p>
    <w:p w14:paraId="0650F7BC" w14:textId="117D136A" w:rsidR="003A1122" w:rsidRDefault="00E0746A" w:rsidP="002D4165">
      <w:pPr>
        <w:pStyle w:val="Titre1"/>
      </w:pPr>
      <w:r>
        <w:t xml:space="preserve">Groupe 1 : </w:t>
      </w:r>
      <w:r w:rsidR="00C25B1B">
        <w:t>p</w:t>
      </w:r>
      <w:r>
        <w:t>erspective des cantons</w:t>
      </w:r>
    </w:p>
    <w:p w14:paraId="2A2BE399" w14:textId="77777777" w:rsidR="003A1122" w:rsidRDefault="003A1122" w:rsidP="003A1122">
      <w:pPr>
        <w:rPr>
          <w:b/>
          <w:bCs/>
        </w:rPr>
      </w:pPr>
    </w:p>
    <w:p w14:paraId="22099C94" w14:textId="04E4D764" w:rsidR="003A1122" w:rsidRDefault="00355747" w:rsidP="008D65D6">
      <w:pPr>
        <w:pStyle w:val="Sous-titre"/>
        <w:jc w:val="both"/>
      </w:pPr>
      <w:r>
        <w:t>Préparer des élections et des votations</w:t>
      </w:r>
    </w:p>
    <w:p w14:paraId="31E7B9CF" w14:textId="223DF013" w:rsidR="009E55E6" w:rsidRDefault="00674E6A" w:rsidP="008D65D6">
      <w:pPr>
        <w:jc w:val="both"/>
      </w:pPr>
      <w:r>
        <w:t xml:space="preserve">Environ neuf mois avant une votation cantonale, les textes soumis au peuple sont </w:t>
      </w:r>
      <w:r w:rsidR="00494A14">
        <w:t xml:space="preserve">préparés </w:t>
      </w:r>
      <w:r>
        <w:t>et examinés en prévision de la création du bulletin de vote cantonal. Parallèlement, on établit un calendrier pour la suite des opérations.</w:t>
      </w:r>
    </w:p>
    <w:p w14:paraId="6C140D00" w14:textId="15DF9A08" w:rsidR="00CC3D29" w:rsidRDefault="00CC3D29" w:rsidP="008D65D6">
      <w:pPr>
        <w:jc w:val="both"/>
      </w:pPr>
    </w:p>
    <w:p w14:paraId="72799FA9" w14:textId="4678611B" w:rsidR="00CC3D29" w:rsidRDefault="00CC3D29" w:rsidP="008D65D6">
      <w:pPr>
        <w:jc w:val="both"/>
      </w:pPr>
      <w:r>
        <w:t>Au plus tard quatre mois avant le dimanche de la votation, les objets fédéraux sont communiqués à la Chancellerie d’</w:t>
      </w:r>
      <w:r w:rsidR="008D248C">
        <w:t>État</w:t>
      </w:r>
      <w:r>
        <w:t xml:space="preserve"> par la Chancellerie fédérale. Puis, le Conseil </w:t>
      </w:r>
      <w:r w:rsidR="00F44622">
        <w:t xml:space="preserve">d’État </w:t>
      </w:r>
      <w:r>
        <w:t xml:space="preserve">édicte un arrêté sur les objets soumis à votation. Autrement dit, le pouvoir exécutif fixe les objets cantonaux et prend connaissance des objets fédéraux. Les textes soumis à votation font ensuite l’objet d’une publication, en général sur le site Internet de la Chancellerie </w:t>
      </w:r>
      <w:r w:rsidR="00F44622">
        <w:t>d’État</w:t>
      </w:r>
      <w:r>
        <w:t>.</w:t>
      </w:r>
    </w:p>
    <w:p w14:paraId="65499CF4" w14:textId="37128CF4" w:rsidR="00CC3D29" w:rsidRDefault="00CC3D29" w:rsidP="008D65D6">
      <w:pPr>
        <w:jc w:val="both"/>
      </w:pPr>
    </w:p>
    <w:p w14:paraId="5DB64F3F" w14:textId="252C975E" w:rsidR="00CC3D29" w:rsidRDefault="00CC3D29" w:rsidP="008D65D6">
      <w:pPr>
        <w:jc w:val="both"/>
      </w:pPr>
      <w:r>
        <w:t xml:space="preserve">Il reste environ trois mois jusqu’au dimanche de la votation. Au cours de cette période, le bulletin de vote cantonal doit être </w:t>
      </w:r>
      <w:r w:rsidR="00DF4B32">
        <w:t xml:space="preserve">créé </w:t>
      </w:r>
      <w:r>
        <w:t xml:space="preserve">et validé pour l’impression. Le titre de l’objet, le message relatif au vote et la vidéo explicative des objets cantonaux doivent également être saisis dans l’application VoteInfo. Cette application est un service de la Chancellerie fédérale, de l’Office fédéral de la statistique et de l’Office de la statistique du canton de Zurich. Elle permet aux </w:t>
      </w:r>
      <w:r w:rsidR="00460BCB">
        <w:t>électeurs</w:t>
      </w:r>
      <w:r>
        <w:t xml:space="preserve"> de suivre en temps réel les résultats d’une votation et de se tenir au courant des tout derniers développements le dimanche du scrutin. </w:t>
      </w:r>
    </w:p>
    <w:p w14:paraId="1B3EE91B" w14:textId="1D9497A2" w:rsidR="00451F36" w:rsidRDefault="00451F36" w:rsidP="008D65D6">
      <w:pPr>
        <w:jc w:val="both"/>
      </w:pPr>
    </w:p>
    <w:p w14:paraId="6889F432" w14:textId="34136A33" w:rsidR="00451F36" w:rsidRDefault="00451F36" w:rsidP="008D65D6">
      <w:pPr>
        <w:jc w:val="both"/>
      </w:pPr>
      <w:r>
        <w:t xml:space="preserve">Environ un mois et demi avant la votation, les messages et bulletins de vote cantonaux et fédéraux sont livrés aux centres d’emballage/communes. De leur côté, ceux-ci déposent les enveloppes de vote à la poste cinq semaines avant la votation, afin qu’elles soient envoyées aux </w:t>
      </w:r>
      <w:r w:rsidR="00F169F6">
        <w:t xml:space="preserve">électeurs </w:t>
      </w:r>
      <w:r>
        <w:t>suffisamment tôt.</w:t>
      </w:r>
    </w:p>
    <w:p w14:paraId="10309F8F" w14:textId="3465E1BB" w:rsidR="00A65C4B" w:rsidRDefault="00A65C4B" w:rsidP="008D65D6">
      <w:pPr>
        <w:jc w:val="both"/>
      </w:pPr>
    </w:p>
    <w:p w14:paraId="04A7C3DC" w14:textId="1E0019A7" w:rsidR="00F4280A" w:rsidRDefault="00355747" w:rsidP="008D65D6">
      <w:pPr>
        <w:pStyle w:val="Sous-titre"/>
        <w:jc w:val="both"/>
      </w:pPr>
      <w:r>
        <w:t>Organiser le dimanche d’élection et de votation</w:t>
      </w:r>
    </w:p>
    <w:p w14:paraId="74B4A918" w14:textId="6F2D75AA" w:rsidR="00A65C4B" w:rsidRDefault="00777C27" w:rsidP="008D65D6">
      <w:pPr>
        <w:jc w:val="both"/>
      </w:pPr>
      <w:r>
        <w:t xml:space="preserve">Deux semaines avant le scrutin, la Chancellerie </w:t>
      </w:r>
      <w:r w:rsidR="00664DC0">
        <w:t xml:space="preserve">d’État </w:t>
      </w:r>
      <w:r>
        <w:t xml:space="preserve">envoie aux communes et au service compétent de l’administration de district un </w:t>
      </w:r>
      <w:proofErr w:type="gramStart"/>
      <w:r>
        <w:t>e-mail</w:t>
      </w:r>
      <w:proofErr w:type="gramEnd"/>
      <w:r>
        <w:t xml:space="preserve"> contenant des informations sur la votation et la préparation. De plus, on prépare le logiciel dans lequel les résultats seront rassemblés : les </w:t>
      </w:r>
      <w:r w:rsidR="00822350">
        <w:t xml:space="preserve">objets </w:t>
      </w:r>
      <w:r>
        <w:t xml:space="preserve">soumis à votation sont saisis et le logiciel est encore testé avant la votation. La Chancellerie </w:t>
      </w:r>
      <w:r w:rsidR="005C32D1">
        <w:t xml:space="preserve">d’État </w:t>
      </w:r>
      <w:r>
        <w:t>met en place son centre de vote pour le dimanche de votation. Autrement dit, elle définit le déroulement</w:t>
      </w:r>
      <w:r w:rsidR="005C79A0">
        <w:t xml:space="preserve"> et les compétences</w:t>
      </w:r>
      <w:r>
        <w:t xml:space="preserve"> interne</w:t>
      </w:r>
      <w:r w:rsidR="0008600A">
        <w:t>s</w:t>
      </w:r>
      <w:r>
        <w:t>. Tout est désormais prêt pour le scrutin.</w:t>
      </w:r>
    </w:p>
    <w:p w14:paraId="7E4B9096" w14:textId="77777777" w:rsidR="00A65C4B" w:rsidRDefault="00A65C4B" w:rsidP="008D65D6">
      <w:pPr>
        <w:jc w:val="both"/>
      </w:pPr>
    </w:p>
    <w:p w14:paraId="173CF9B3" w14:textId="17B1E08C" w:rsidR="00777C27" w:rsidRDefault="00355747" w:rsidP="008D65D6">
      <w:pPr>
        <w:pStyle w:val="Sous-titre"/>
        <w:jc w:val="both"/>
      </w:pPr>
      <w:r>
        <w:t>Encadrer le dimanche d’élection et de votation</w:t>
      </w:r>
    </w:p>
    <w:p w14:paraId="232B032E" w14:textId="3E07DCB1" w:rsidR="00777C27" w:rsidRDefault="00777C27" w:rsidP="008D65D6">
      <w:pPr>
        <w:jc w:val="both"/>
      </w:pPr>
      <w:r>
        <w:t xml:space="preserve">Le matin du dimanche de la votation, la Chancellerie </w:t>
      </w:r>
      <w:r w:rsidR="00E9603C">
        <w:t xml:space="preserve">d’État </w:t>
      </w:r>
      <w:r>
        <w:t xml:space="preserve">débloque et met à disposition des communes le masque de saisie du logiciel de saisie des données. En cas de problème, les </w:t>
      </w:r>
      <w:r>
        <w:lastRenderedPageBreak/>
        <w:t xml:space="preserve">communes peuvent s’adresser à leur préfecture. </w:t>
      </w:r>
    </w:p>
    <w:p w14:paraId="4425BDCC" w14:textId="77777777" w:rsidR="00777C27" w:rsidRDefault="00777C27" w:rsidP="008D65D6">
      <w:pPr>
        <w:jc w:val="both"/>
      </w:pPr>
    </w:p>
    <w:p w14:paraId="76EF1CE3" w14:textId="77777777" w:rsidR="00777C27" w:rsidRDefault="00777C27" w:rsidP="008D65D6">
      <w:pPr>
        <w:jc w:val="both"/>
      </w:pPr>
      <w:r>
        <w:t xml:space="preserve">Dès que les résultats arrivent, à partir de 12 h, ils sont plausibilisés et traités dans le logiciel. </w:t>
      </w:r>
    </w:p>
    <w:p w14:paraId="4E34323D" w14:textId="77777777" w:rsidR="00777C27" w:rsidRDefault="00777C27" w:rsidP="008D65D6">
      <w:pPr>
        <w:jc w:val="both"/>
      </w:pPr>
    </w:p>
    <w:p w14:paraId="43783F14" w14:textId="4EAA355C" w:rsidR="00777C27" w:rsidRDefault="00777C27" w:rsidP="008D65D6">
      <w:pPr>
        <w:jc w:val="both"/>
      </w:pPr>
      <w:r>
        <w:t xml:space="preserve">En cas de résultats non plausibles ou de retards des communes, la Chancellerie </w:t>
      </w:r>
      <w:r w:rsidR="00266E9E">
        <w:t xml:space="preserve">d’État </w:t>
      </w:r>
      <w:r>
        <w:t>informe le service compétent de l’administration de district (par exemple, dans le canton de Berne, il s’agit des préfectures).</w:t>
      </w:r>
    </w:p>
    <w:p w14:paraId="7718B1D6" w14:textId="77777777" w:rsidR="00777C27" w:rsidRDefault="00777C27" w:rsidP="008D65D6">
      <w:pPr>
        <w:jc w:val="both"/>
      </w:pPr>
    </w:p>
    <w:p w14:paraId="76968220" w14:textId="72CDFA10" w:rsidR="00777C27" w:rsidRPr="00346D87" w:rsidRDefault="008042A8" w:rsidP="008D65D6">
      <w:pPr>
        <w:pStyle w:val="Notedebasdepage"/>
        <w:jc w:val="both"/>
        <w:rPr>
          <w:sz w:val="24"/>
          <w:szCs w:val="24"/>
        </w:rPr>
      </w:pPr>
      <w:r>
        <w:rPr>
          <w:sz w:val="24"/>
        </w:rPr>
        <w:t xml:space="preserve">Les résultats sont exportés au fur et à mesure depuis le logiciel et transférés à l’Office fédéral de la statistique (OFS) via Sedex. « Sedex est l’abréviation de secure data exchange et est un service de l’Office fédéral de la statistique OFS. » (OFS 2022b). Dès que l’OFS a reconfirmé le résultat final cantonal, le logiciel est bloqué pour la saisie. De plus, la publication en </w:t>
      </w:r>
      <w:r w:rsidR="002C13E6">
        <w:rPr>
          <w:sz w:val="24"/>
        </w:rPr>
        <w:t xml:space="preserve">continu </w:t>
      </w:r>
      <w:r>
        <w:rPr>
          <w:sz w:val="24"/>
        </w:rPr>
        <w:t xml:space="preserve">dans l’application </w:t>
      </w:r>
      <w:proofErr w:type="spellStart"/>
      <w:r>
        <w:rPr>
          <w:sz w:val="24"/>
        </w:rPr>
        <w:t>VoteInfo</w:t>
      </w:r>
      <w:proofErr w:type="spellEnd"/>
      <w:r>
        <w:rPr>
          <w:sz w:val="24"/>
        </w:rPr>
        <w:t xml:space="preserve"> est stoppée.</w:t>
      </w:r>
    </w:p>
    <w:p w14:paraId="070AF439" w14:textId="77777777" w:rsidR="00777C27" w:rsidRDefault="00777C27" w:rsidP="008D65D6">
      <w:pPr>
        <w:jc w:val="both"/>
      </w:pPr>
    </w:p>
    <w:p w14:paraId="7EC36455" w14:textId="72099ABC" w:rsidR="00777C27" w:rsidRDefault="008042A8" w:rsidP="008D65D6">
      <w:pPr>
        <w:jc w:val="both"/>
      </w:pPr>
      <w:r>
        <w:t xml:space="preserve">La Chancellerie </w:t>
      </w:r>
      <w:r w:rsidR="007E40C4">
        <w:t xml:space="preserve">d’État </w:t>
      </w:r>
      <w:r>
        <w:t xml:space="preserve">réceptionne au fur et à mesure les procès-verbaux des communes et des arrondissements administratifs. Pour les objets de votation cantonaux, il existe un centre de presse à la Chancellerie </w:t>
      </w:r>
      <w:r w:rsidR="007E40C4">
        <w:t>d’État</w:t>
      </w:r>
      <w:r>
        <w:t xml:space="preserve">. </w:t>
      </w:r>
    </w:p>
    <w:p w14:paraId="41D7E68B" w14:textId="33F6CD9E" w:rsidR="00F4280A" w:rsidRDefault="00F4280A" w:rsidP="008D65D6">
      <w:pPr>
        <w:jc w:val="both"/>
      </w:pPr>
    </w:p>
    <w:p w14:paraId="3B8D0356" w14:textId="1719532B" w:rsidR="009F70A6" w:rsidRPr="00AE5C51" w:rsidRDefault="00355747" w:rsidP="008D65D6">
      <w:pPr>
        <w:pStyle w:val="Sous-titre"/>
        <w:jc w:val="both"/>
        <w:rPr>
          <w:rStyle w:val="lev"/>
          <w:b/>
          <w:bCs w:val="0"/>
        </w:rPr>
      </w:pPr>
      <w:r>
        <w:rPr>
          <w:rStyle w:val="lev"/>
          <w:b/>
        </w:rPr>
        <w:t>Clore des élections et des votations conformément au protocole</w:t>
      </w:r>
    </w:p>
    <w:p w14:paraId="46233C19" w14:textId="758213C8" w:rsidR="00777C27" w:rsidRDefault="00777C27" w:rsidP="008D65D6">
      <w:pPr>
        <w:widowControl/>
        <w:overflowPunct/>
        <w:autoSpaceDE/>
        <w:autoSpaceDN/>
        <w:adjustRightInd/>
        <w:spacing w:after="200" w:line="276" w:lineRule="auto"/>
        <w:jc w:val="both"/>
        <w:textAlignment w:val="auto"/>
        <w:rPr>
          <w:rFonts w:asciiTheme="minorHAnsi" w:hAnsiTheme="minorHAnsi"/>
        </w:rPr>
      </w:pPr>
      <w:r>
        <w:rPr>
          <w:rFonts w:asciiTheme="minorHAnsi" w:hAnsiTheme="minorHAnsi"/>
        </w:rPr>
        <w:t>Le lundi suivant le dimanche du scrutin, les résultats provisoires sont enregistrés sur une sauvegarde et on met à jour le site web contenant les informations destinées aux communes. Les communes reçoivent ainsi des informations sur la conservation des documents relatifs au vote.</w:t>
      </w:r>
    </w:p>
    <w:p w14:paraId="20762795" w14:textId="6754EDF4" w:rsidR="007E01B8" w:rsidRPr="00DE1434" w:rsidRDefault="00777C27" w:rsidP="008D65D6">
      <w:pPr>
        <w:widowControl/>
        <w:overflowPunct/>
        <w:autoSpaceDE/>
        <w:autoSpaceDN/>
        <w:adjustRightInd/>
        <w:spacing w:after="200" w:line="276" w:lineRule="auto"/>
        <w:jc w:val="both"/>
        <w:textAlignment w:val="auto"/>
        <w:rPr>
          <w:rFonts w:asciiTheme="minorHAnsi" w:hAnsiTheme="minorHAnsi"/>
        </w:rPr>
      </w:pPr>
      <w:r>
        <w:rPr>
          <w:rFonts w:asciiTheme="minorHAnsi" w:hAnsiTheme="minorHAnsi"/>
        </w:rPr>
        <w:t>Dans un délai de trois jours, on vérifie les procès-verbaux des communes et on y apporte d’éventuelles corrections. Vient ensuite le contrôle final définitif, à la suite duquel les résultats sont sécurisés au moyen d’une sauvegarde, puis de nouveau livrés et archivés via Sedex. Les messages et les bulletins de vote sont eux aussi archivés.</w:t>
      </w:r>
    </w:p>
    <w:p w14:paraId="0E991DFA" w14:textId="02652217" w:rsidR="007E01B8" w:rsidRDefault="007E01B8" w:rsidP="008D65D6">
      <w:pPr>
        <w:widowControl/>
        <w:overflowPunct/>
        <w:autoSpaceDE/>
        <w:autoSpaceDN/>
        <w:adjustRightInd/>
        <w:spacing w:after="200" w:line="276" w:lineRule="auto"/>
        <w:jc w:val="both"/>
        <w:textAlignment w:val="auto"/>
        <w:rPr>
          <w:rFonts w:asciiTheme="minorHAnsi" w:hAnsiTheme="minorHAnsi"/>
        </w:rPr>
      </w:pPr>
      <w:r>
        <w:rPr>
          <w:rFonts w:asciiTheme="minorHAnsi" w:hAnsiTheme="minorHAnsi"/>
        </w:rPr>
        <w:t xml:space="preserve">Plus rien ne s’oppose désormais à la publication des résultats définitifs. En règle générale, la publication se fait sur Internet et dans </w:t>
      </w:r>
      <w:r w:rsidR="00C04AFA">
        <w:rPr>
          <w:rFonts w:asciiTheme="minorHAnsi" w:hAnsiTheme="minorHAnsi"/>
        </w:rPr>
        <w:t>le bulletin</w:t>
      </w:r>
      <w:r>
        <w:rPr>
          <w:rFonts w:asciiTheme="minorHAnsi" w:hAnsiTheme="minorHAnsi"/>
        </w:rPr>
        <w:t xml:space="preserve"> officiel. Un délai de recours court à partir de la publication dans </w:t>
      </w:r>
      <w:r w:rsidR="00905985">
        <w:rPr>
          <w:rFonts w:asciiTheme="minorHAnsi" w:hAnsiTheme="minorHAnsi"/>
        </w:rPr>
        <w:t>le bulletin</w:t>
      </w:r>
      <w:r>
        <w:rPr>
          <w:rFonts w:asciiTheme="minorHAnsi" w:hAnsiTheme="minorHAnsi"/>
        </w:rPr>
        <w:t xml:space="preserve"> officiel, pendant lequel les résultats peuvent encore être contestés. Passé ce délai, les résultats cantonaux sont officialisés par arrêté du Conseil </w:t>
      </w:r>
      <w:r w:rsidR="00905985">
        <w:t xml:space="preserve">d’État </w:t>
      </w:r>
      <w:r>
        <w:rPr>
          <w:rFonts w:asciiTheme="minorHAnsi" w:hAnsiTheme="minorHAnsi"/>
        </w:rPr>
        <w:t>et un courrier contenant les résultats fédéraux définitifs est adressé à la Chancellerie fédérale.</w:t>
      </w:r>
    </w:p>
    <w:p w14:paraId="0A7481CB" w14:textId="0A7C4E78" w:rsidR="007E01B8" w:rsidRDefault="002846AE" w:rsidP="008D65D6">
      <w:pPr>
        <w:widowControl/>
        <w:overflowPunct/>
        <w:autoSpaceDE/>
        <w:autoSpaceDN/>
        <w:adjustRightInd/>
        <w:spacing w:after="200" w:line="276" w:lineRule="auto"/>
        <w:jc w:val="both"/>
        <w:textAlignment w:val="auto"/>
        <w:rPr>
          <w:rFonts w:asciiTheme="minorHAnsi" w:hAnsiTheme="minorHAnsi"/>
        </w:rPr>
      </w:pPr>
      <w:r>
        <w:t xml:space="preserve">Après l’expiration du délai de recours ou la clôture des recours en suspens, les communes sont informées qu’elles peuvent détruire les documents liés à la votation. </w:t>
      </w:r>
    </w:p>
    <w:p w14:paraId="669ACA30" w14:textId="77777777" w:rsidR="008D65D6" w:rsidRDefault="008D65D6" w:rsidP="008D65D6">
      <w:pPr>
        <w:pStyle w:val="Sous-titre"/>
        <w:rPr>
          <w:sz w:val="20"/>
          <w:szCs w:val="20"/>
        </w:rPr>
      </w:pPr>
    </w:p>
    <w:p w14:paraId="795E1AEF" w14:textId="77777777" w:rsidR="008D65D6" w:rsidRDefault="008D65D6" w:rsidP="008D65D6">
      <w:pPr>
        <w:pStyle w:val="Sous-titre"/>
        <w:rPr>
          <w:sz w:val="20"/>
          <w:szCs w:val="20"/>
        </w:rPr>
      </w:pPr>
    </w:p>
    <w:p w14:paraId="4A731098" w14:textId="5B4B7897" w:rsidR="007E01B8" w:rsidRPr="008D65D6" w:rsidRDefault="00346D87" w:rsidP="008D65D6">
      <w:pPr>
        <w:pStyle w:val="Sous-titre"/>
        <w:rPr>
          <w:sz w:val="20"/>
          <w:szCs w:val="20"/>
        </w:rPr>
      </w:pPr>
      <w:r w:rsidRPr="008D65D6">
        <w:rPr>
          <w:sz w:val="20"/>
          <w:szCs w:val="20"/>
        </w:rPr>
        <w:t>Sources</w:t>
      </w:r>
    </w:p>
    <w:p w14:paraId="1B9E8A1C" w14:textId="4FD28B3F" w:rsidR="002C323E" w:rsidRPr="008D65D6" w:rsidRDefault="002C323E" w:rsidP="008D65D6">
      <w:pPr>
        <w:pStyle w:val="Paragraphedeliste"/>
        <w:widowControl/>
        <w:numPr>
          <w:ilvl w:val="0"/>
          <w:numId w:val="38"/>
        </w:numPr>
        <w:overflowPunct/>
        <w:autoSpaceDE/>
        <w:autoSpaceDN/>
        <w:adjustRightInd/>
        <w:spacing w:line="276" w:lineRule="auto"/>
        <w:ind w:left="426"/>
        <w:textAlignment w:val="auto"/>
        <w:rPr>
          <w:sz w:val="20"/>
          <w:szCs w:val="20"/>
        </w:rPr>
      </w:pPr>
      <w:r w:rsidRPr="008D65D6">
        <w:rPr>
          <w:sz w:val="20"/>
          <w:szCs w:val="20"/>
        </w:rPr>
        <w:t xml:space="preserve">Office fédéral de la statistique (OFS) (2022a). VoteInfo. </w:t>
      </w:r>
      <w:hyperlink r:id="rId10" w:history="1">
        <w:r w:rsidR="005D6D02" w:rsidRPr="008D65D6">
          <w:rPr>
            <w:rStyle w:val="Lienhypertexte"/>
            <w:sz w:val="20"/>
            <w:szCs w:val="20"/>
          </w:rPr>
          <w:t>https://www.bfs.admin.ch/bfs/fr/home/statistiques/politique/votations/voteinfo.html</w:t>
        </w:r>
      </w:hyperlink>
      <w:r w:rsidR="005D6D02" w:rsidRPr="008D65D6">
        <w:rPr>
          <w:sz w:val="20"/>
          <w:szCs w:val="20"/>
        </w:rPr>
        <w:t xml:space="preserve"> </w:t>
      </w:r>
      <w:r w:rsidRPr="008D65D6">
        <w:rPr>
          <w:sz w:val="20"/>
          <w:szCs w:val="20"/>
        </w:rPr>
        <w:t>(consulté le 11 août 2022)</w:t>
      </w:r>
    </w:p>
    <w:p w14:paraId="0AE6A982" w14:textId="433C7E85" w:rsidR="00346D87" w:rsidRDefault="002C323E" w:rsidP="008D65D6">
      <w:pPr>
        <w:pStyle w:val="Paragraphedeliste"/>
        <w:widowControl/>
        <w:numPr>
          <w:ilvl w:val="0"/>
          <w:numId w:val="38"/>
        </w:numPr>
        <w:overflowPunct/>
        <w:autoSpaceDE/>
        <w:autoSpaceDN/>
        <w:adjustRightInd/>
        <w:spacing w:line="276" w:lineRule="auto"/>
        <w:ind w:left="426"/>
        <w:textAlignment w:val="auto"/>
        <w:rPr>
          <w:sz w:val="20"/>
          <w:szCs w:val="20"/>
        </w:rPr>
      </w:pPr>
      <w:r w:rsidRPr="008D65D6">
        <w:rPr>
          <w:sz w:val="20"/>
          <w:szCs w:val="20"/>
        </w:rPr>
        <w:t>Office fédéral de la statistique (OFS) (2022b). Sedex (</w:t>
      </w:r>
      <w:hyperlink r:id="rId11" w:history="1">
        <w:r w:rsidRPr="008D65D6">
          <w:rPr>
            <w:rStyle w:val="Lienhypertexte"/>
            <w:sz w:val="20"/>
            <w:szCs w:val="20"/>
          </w:rPr>
          <w:t>www.sedex.ch</w:t>
        </w:r>
      </w:hyperlink>
      <w:r w:rsidRPr="008D65D6">
        <w:rPr>
          <w:sz w:val="20"/>
          <w:szCs w:val="20"/>
        </w:rPr>
        <w:t xml:space="preserve">). </w:t>
      </w:r>
      <w:hyperlink r:id="rId12" w:history="1">
        <w:r w:rsidRPr="008D65D6">
          <w:rPr>
            <w:rStyle w:val="Lienhypertexte"/>
            <w:sz w:val="20"/>
            <w:szCs w:val="20"/>
          </w:rPr>
          <w:t>https://www.bfs.admin.ch/bfs/fr/home/registres/registre-personnes/sedex.html</w:t>
        </w:r>
      </w:hyperlink>
      <w:r w:rsidRPr="008D65D6">
        <w:rPr>
          <w:sz w:val="20"/>
          <w:szCs w:val="20"/>
        </w:rPr>
        <w:t xml:space="preserve"> (consulté le 11 août 2022)</w:t>
      </w:r>
    </w:p>
    <w:p w14:paraId="02CE9AAC" w14:textId="7505AB3E" w:rsidR="008D65D6" w:rsidRDefault="008D65D6">
      <w:pPr>
        <w:widowControl/>
        <w:overflowPunct/>
        <w:autoSpaceDE/>
        <w:autoSpaceDN/>
        <w:adjustRightInd/>
        <w:spacing w:after="200" w:line="276" w:lineRule="auto"/>
        <w:textAlignment w:val="auto"/>
        <w:rPr>
          <w:sz w:val="20"/>
          <w:szCs w:val="20"/>
        </w:rPr>
      </w:pPr>
      <w:r>
        <w:rPr>
          <w:sz w:val="20"/>
          <w:szCs w:val="20"/>
        </w:rPr>
        <w:br w:type="page"/>
      </w:r>
    </w:p>
    <w:p w14:paraId="2F2C58CA" w14:textId="3260D4BF" w:rsidR="00970CA5" w:rsidRPr="00BB2072" w:rsidRDefault="00E0746A" w:rsidP="008D65D6">
      <w:pPr>
        <w:pStyle w:val="Titre1"/>
        <w:jc w:val="both"/>
      </w:pPr>
      <w:bookmarkStart w:id="0" w:name="_Hlk112166604"/>
      <w:r>
        <w:lastRenderedPageBreak/>
        <w:t xml:space="preserve">Groupe 2 : </w:t>
      </w:r>
      <w:r w:rsidR="00DA34B5">
        <w:t>s</w:t>
      </w:r>
      <w:r>
        <w:t>ecret du vote et principe du double contrôle</w:t>
      </w:r>
    </w:p>
    <w:p w14:paraId="0D2F99F9" w14:textId="52608427" w:rsidR="00A5121F" w:rsidRDefault="00A5121F" w:rsidP="008D65D6">
      <w:pPr>
        <w:jc w:val="both"/>
      </w:pPr>
      <w:r>
        <w:t xml:space="preserve">Le secret du vote, c’est-à-dire le principe voulant que le sens dans lequel une personne use de son droit de vote reste secret, est une disposition légale importante dont vous devez tenir compte lors de l’organisation d’élections et de votations. Le principe du double contrôle doit lui aussi toujours être respecté lors du dépouillement d’élections ou de votations. </w:t>
      </w:r>
    </w:p>
    <w:p w14:paraId="7632ABA9" w14:textId="77777777" w:rsidR="00A5121F" w:rsidRDefault="00A5121F" w:rsidP="008D65D6">
      <w:pPr>
        <w:jc w:val="both"/>
      </w:pPr>
    </w:p>
    <w:p w14:paraId="10F07A2B" w14:textId="574EF961" w:rsidR="00A5121F" w:rsidRDefault="00C43914" w:rsidP="008D65D6">
      <w:pPr>
        <w:pStyle w:val="Sous-titre"/>
        <w:jc w:val="both"/>
      </w:pPr>
      <w:r>
        <w:t>Secret du vote</w:t>
      </w:r>
    </w:p>
    <w:p w14:paraId="748B7C30" w14:textId="09A6E575" w:rsidR="00A5121F" w:rsidRDefault="00A5121F" w:rsidP="008D65D6">
      <w:pPr>
        <w:jc w:val="both"/>
      </w:pPr>
      <w:r>
        <w:t xml:space="preserve">Le secret du vote est déjà ancré dans la loi au niveau fédéral. Ainsi, l’art. 5, al. 7 de la Loi fédérale sur les droits politiques (LDP) stipule ceci : « Le secret du vote doit être sauvegardé ». </w:t>
      </w:r>
    </w:p>
    <w:p w14:paraId="262842F6" w14:textId="77777777" w:rsidR="00A5121F" w:rsidRDefault="00A5121F" w:rsidP="008D65D6">
      <w:pPr>
        <w:jc w:val="both"/>
      </w:pPr>
    </w:p>
    <w:p w14:paraId="719DA537" w14:textId="77777777" w:rsidR="00A5121F" w:rsidRDefault="00A5121F" w:rsidP="008D65D6">
      <w:pPr>
        <w:jc w:val="both"/>
      </w:pPr>
      <w:r>
        <w:t xml:space="preserve">Pour que le secret du vote soit garanti, celui-ci est toujours mentionné et protégé par la loi à d’autres endroits de la LDP. </w:t>
      </w:r>
    </w:p>
    <w:p w14:paraId="47D8249E" w14:textId="6138D313" w:rsidR="00A5121F" w:rsidRDefault="00A5121F" w:rsidP="008D65D6">
      <w:pPr>
        <w:jc w:val="both"/>
      </w:pPr>
      <w:r>
        <w:t>Par exemple, il est stipulé que...</w:t>
      </w:r>
    </w:p>
    <w:p w14:paraId="2ECA30FD" w14:textId="3FAAD8D0" w:rsidR="00643B7F" w:rsidRDefault="0031320A" w:rsidP="008D65D6">
      <w:pPr>
        <w:pStyle w:val="Paragraphedeliste"/>
        <w:numPr>
          <w:ilvl w:val="0"/>
          <w:numId w:val="34"/>
        </w:numPr>
        <w:jc w:val="both"/>
      </w:pPr>
      <w:r>
        <w:t xml:space="preserve">les cantons doivent fixer des dispositions assurant que le secret du vote </w:t>
      </w:r>
      <w:r w:rsidR="006B67F3">
        <w:t xml:space="preserve">soit également </w:t>
      </w:r>
      <w:r>
        <w:t>garanti en cas de vote anticipé,</w:t>
      </w:r>
    </w:p>
    <w:p w14:paraId="4A01A221" w14:textId="0AA86411" w:rsidR="00A5121F" w:rsidRDefault="00A5121F" w:rsidP="008D65D6">
      <w:pPr>
        <w:pStyle w:val="Paragraphedeliste"/>
        <w:numPr>
          <w:ilvl w:val="0"/>
          <w:numId w:val="34"/>
        </w:numPr>
        <w:jc w:val="both"/>
      </w:pPr>
      <w:r>
        <w:t>les cantons doivent édicter des dispositions relatives au vote par correspondance afin de garantir le secret du vote,</w:t>
      </w:r>
    </w:p>
    <w:p w14:paraId="3BB5B8EF" w14:textId="184C6D12" w:rsidR="00A5121F" w:rsidRDefault="0031320A" w:rsidP="008D65D6">
      <w:pPr>
        <w:pStyle w:val="Paragraphedeliste"/>
        <w:numPr>
          <w:ilvl w:val="0"/>
          <w:numId w:val="34"/>
        </w:numPr>
        <w:jc w:val="both"/>
      </w:pPr>
      <w:r>
        <w:t xml:space="preserve">le secret du vote doit être </w:t>
      </w:r>
      <w:r w:rsidR="008D5F1F">
        <w:t xml:space="preserve">également </w:t>
      </w:r>
      <w:r>
        <w:t>garanti en cas de vote électronique,</w:t>
      </w:r>
    </w:p>
    <w:p w14:paraId="458486B6" w14:textId="7474D254" w:rsidR="00A5121F" w:rsidRDefault="0031320A" w:rsidP="008D65D6">
      <w:pPr>
        <w:pStyle w:val="Paragraphedeliste"/>
        <w:numPr>
          <w:ilvl w:val="0"/>
          <w:numId w:val="34"/>
        </w:numPr>
        <w:jc w:val="both"/>
      </w:pPr>
      <w:r>
        <w:t xml:space="preserve">le secret du vote ne doit pas être violé lors d’évaluations statistiques relatives à des élections et à des votations. </w:t>
      </w:r>
    </w:p>
    <w:p w14:paraId="0830BE73" w14:textId="77777777" w:rsidR="00A5121F" w:rsidRDefault="00A5121F" w:rsidP="008D65D6">
      <w:pPr>
        <w:jc w:val="both"/>
      </w:pPr>
    </w:p>
    <w:p w14:paraId="5106FC72" w14:textId="3BD5F7E1" w:rsidR="00A5121F" w:rsidRDefault="00A5121F" w:rsidP="008D65D6">
      <w:pPr>
        <w:jc w:val="both"/>
      </w:pPr>
      <w:r>
        <w:t>Au niveau cantonal aussi, il existe des dispositions légales visant à préserver le secret du vote. Par exemple, l’ordonnance relative à la loi sur les élections et les votations du canton de Bâle-Ville stipule que...</w:t>
      </w:r>
    </w:p>
    <w:p w14:paraId="140F83DF" w14:textId="47010648" w:rsidR="00A5121F" w:rsidRDefault="0031320A" w:rsidP="008D65D6">
      <w:pPr>
        <w:pStyle w:val="Paragraphedeliste"/>
        <w:numPr>
          <w:ilvl w:val="0"/>
          <w:numId w:val="35"/>
        </w:numPr>
        <w:jc w:val="both"/>
      </w:pPr>
      <w:r>
        <w:t xml:space="preserve">le bureau de vote doit être fermé si, par exemple, le secret du vote est menacé en raison de la présence d’un grand nombre de </w:t>
      </w:r>
      <w:r w:rsidR="00A6536D">
        <w:t>votants</w:t>
      </w:r>
      <w:r>
        <w:t>,</w:t>
      </w:r>
    </w:p>
    <w:p w14:paraId="3242CF6A" w14:textId="2E3C3431" w:rsidR="00A5121F" w:rsidRDefault="0031320A" w:rsidP="008D65D6">
      <w:pPr>
        <w:pStyle w:val="Paragraphedeliste"/>
        <w:numPr>
          <w:ilvl w:val="0"/>
          <w:numId w:val="35"/>
        </w:numPr>
        <w:jc w:val="both"/>
      </w:pPr>
      <w:r>
        <w:t xml:space="preserve">les représentants du bureau de vote doivent non seulement assurer le bon déroulement du vote à l’urne, mais aussi garantir le secret du vote. </w:t>
      </w:r>
    </w:p>
    <w:p w14:paraId="481BE156" w14:textId="77777777" w:rsidR="00A5121F" w:rsidRDefault="00A5121F" w:rsidP="008D65D6">
      <w:pPr>
        <w:jc w:val="both"/>
      </w:pPr>
    </w:p>
    <w:p w14:paraId="70A0732F" w14:textId="64EE52CE" w:rsidR="00A5121F" w:rsidRDefault="00A5121F" w:rsidP="008D65D6">
      <w:pPr>
        <w:jc w:val="both"/>
      </w:pPr>
      <w:r>
        <w:t xml:space="preserve">Si quelqu’un se procure, par des procédés illicites, des informations protégées par le secret du vote, il risque, selon le Code pénal (CP, art. 283), une peine pécuniaire, voire une peine privative de liberté pouvant aller jusqu’à trois ans. </w:t>
      </w:r>
    </w:p>
    <w:bookmarkEnd w:id="0"/>
    <w:p w14:paraId="566FD533" w14:textId="77777777" w:rsidR="00A5121F" w:rsidRDefault="00A5121F" w:rsidP="008D65D6">
      <w:pPr>
        <w:jc w:val="both"/>
      </w:pPr>
    </w:p>
    <w:p w14:paraId="5497F319" w14:textId="728CDA68" w:rsidR="00A5121F" w:rsidRDefault="00A5121F" w:rsidP="008D65D6">
      <w:pPr>
        <w:jc w:val="both"/>
      </w:pPr>
      <w:r>
        <w:t xml:space="preserve">Mais comment le secret du vote peut-il être respecté si les voix doivent être comptées ? Grâce </w:t>
      </w:r>
      <w:r w:rsidR="003A799E">
        <w:t>au module de connaissances</w:t>
      </w:r>
      <w:r>
        <w:t xml:space="preserve">, vous savez déjà que vous devez attirer l’attention des scrutateurs sur le secret du vote en leur rappelant qu’aucune information parvenue à leur connaissance dans le cadre du dépouillement ne doit quitter le bureau de vote. </w:t>
      </w:r>
    </w:p>
    <w:p w14:paraId="6455DAAD" w14:textId="77777777" w:rsidR="00A5121F" w:rsidRDefault="00A5121F" w:rsidP="008D65D6">
      <w:pPr>
        <w:jc w:val="both"/>
      </w:pPr>
    </w:p>
    <w:p w14:paraId="0965A4D4" w14:textId="26100BDE" w:rsidR="00A5121F" w:rsidRDefault="00A5121F" w:rsidP="008D65D6">
      <w:pPr>
        <w:jc w:val="both"/>
      </w:pPr>
      <w:r>
        <w:t xml:space="preserve">Afin de garantir le secret du vote, d’autres mesures sont prises avant et pendant le dépouillement. Ainsi, pour participer aux élections ou aux votations, les électeurs reçoivent toujours deux enveloppes : </w:t>
      </w:r>
    </w:p>
    <w:p w14:paraId="1B710D05" w14:textId="1C093581" w:rsidR="00A5121F" w:rsidRPr="00F642A5" w:rsidRDefault="00A5121F" w:rsidP="008D65D6">
      <w:pPr>
        <w:pStyle w:val="Paragraphedeliste"/>
        <w:numPr>
          <w:ilvl w:val="0"/>
          <w:numId w:val="36"/>
        </w:numPr>
        <w:jc w:val="both"/>
      </w:pPr>
      <w:r>
        <w:t xml:space="preserve">L’enveloppe de vote : dans </w:t>
      </w:r>
      <w:r w:rsidR="00FE0058">
        <w:t xml:space="preserve">cette </w:t>
      </w:r>
      <w:r>
        <w:t>enveloppe sont placés les bulletins de vot</w:t>
      </w:r>
      <w:r w:rsidR="00C86B4D">
        <w:t>e</w:t>
      </w:r>
      <w:r>
        <w:t xml:space="preserve"> et les bulletins d’élection remplis. </w:t>
      </w:r>
    </w:p>
    <w:p w14:paraId="5B0D2E8A" w14:textId="28566883" w:rsidR="00A5121F" w:rsidRPr="00F642A5" w:rsidRDefault="00F97CB4" w:rsidP="008D65D6">
      <w:pPr>
        <w:pStyle w:val="Paragraphedeliste"/>
        <w:numPr>
          <w:ilvl w:val="0"/>
          <w:numId w:val="36"/>
        </w:numPr>
        <w:jc w:val="both"/>
      </w:pPr>
      <w:r>
        <w:t xml:space="preserve">L’enveloppe-réponse : cette enveloppe (une enveloppe à fenêtre) sert à envoyer les documents aux </w:t>
      </w:r>
      <w:r w:rsidR="00D24EBC">
        <w:t>électeurs</w:t>
      </w:r>
      <w:r>
        <w:t xml:space="preserve"> et, le cas échéant, à les retourner. </w:t>
      </w:r>
    </w:p>
    <w:p w14:paraId="23BF470A" w14:textId="77777777" w:rsidR="00A5121F" w:rsidRPr="00A5121F" w:rsidRDefault="00A5121F" w:rsidP="008D65D6">
      <w:pPr>
        <w:jc w:val="both"/>
      </w:pPr>
    </w:p>
    <w:p w14:paraId="7E624CC0" w14:textId="3DEE4243" w:rsidR="00A5121F" w:rsidRDefault="00A5121F" w:rsidP="008D65D6">
      <w:pPr>
        <w:jc w:val="both"/>
      </w:pPr>
      <w:r>
        <w:lastRenderedPageBreak/>
        <w:t xml:space="preserve">En cas de vote par correspondance, l’enveloppe de vote et la carte de </w:t>
      </w:r>
      <w:r w:rsidR="00242FE5">
        <w:t xml:space="preserve">légitimation </w:t>
      </w:r>
      <w:r>
        <w:t xml:space="preserve">sont replacées dans l’enveloppe à fenêtre. Lorsque les documents arrivent </w:t>
      </w:r>
      <w:r w:rsidR="00591AFE">
        <w:t xml:space="preserve">à </w:t>
      </w:r>
      <w:r>
        <w:t xml:space="preserve">la commune, vous ouvrez </w:t>
      </w:r>
      <w:r w:rsidRPr="00041B97">
        <w:t>l’enveloppe</w:t>
      </w:r>
      <w:r w:rsidR="00DB6A91" w:rsidRPr="001C1834">
        <w:t xml:space="preserve"> à fenêtre</w:t>
      </w:r>
      <w:r w:rsidR="00455A7E" w:rsidRPr="001C1834">
        <w:t xml:space="preserve"> </w:t>
      </w:r>
      <w:r>
        <w:t xml:space="preserve">et séparez la carte de </w:t>
      </w:r>
      <w:r w:rsidR="00763754">
        <w:t xml:space="preserve">légitimation </w:t>
      </w:r>
      <w:r>
        <w:t xml:space="preserve">de l’enveloppe de vote. Par la suite, les bulletins de vote et la carte de </w:t>
      </w:r>
      <w:r w:rsidR="005324ED">
        <w:t xml:space="preserve">légitimation </w:t>
      </w:r>
      <w:r>
        <w:t xml:space="preserve">sont triés séparément. Ainsi, les scrutateurs ou les autres membres du bureau de vote ne peuvent pas savoir qui a voté quoi (dans le cadre d’une votation) ou pour qui (dans le cadre d’une élection). Si une personne se déplace jusqu’au bureau de vote pour participer </w:t>
      </w:r>
      <w:r w:rsidR="00497469">
        <w:t>au scrutin</w:t>
      </w:r>
      <w:r>
        <w:t xml:space="preserve">, elle apporte sa carte de </w:t>
      </w:r>
      <w:r w:rsidR="00DD3174">
        <w:t xml:space="preserve">légitimation </w:t>
      </w:r>
      <w:r>
        <w:t xml:space="preserve">et les bulletins de vote en vrac à l’urne. Là, la commune commence par vérifier la carte de </w:t>
      </w:r>
      <w:r w:rsidR="005A72C2">
        <w:t>légitimation</w:t>
      </w:r>
      <w:r>
        <w:t xml:space="preserve">. Si tout est en ordre, le scrutateur ouvre l’urne et les bulletins peuvent y être déposés anonymement. </w:t>
      </w:r>
    </w:p>
    <w:p w14:paraId="3C942BC4" w14:textId="1B5FDCEA" w:rsidR="00C43914" w:rsidRDefault="00C43914" w:rsidP="008D65D6">
      <w:pPr>
        <w:jc w:val="both"/>
      </w:pPr>
    </w:p>
    <w:p w14:paraId="47AAC743" w14:textId="086CED2C" w:rsidR="00C43914" w:rsidRDefault="00C43914" w:rsidP="008D65D6">
      <w:pPr>
        <w:pStyle w:val="Sous-titre"/>
        <w:jc w:val="both"/>
      </w:pPr>
      <w:r>
        <w:t>Principe du double contrôle</w:t>
      </w:r>
    </w:p>
    <w:p w14:paraId="55D36A3B" w14:textId="05E36BEB" w:rsidR="00C43914" w:rsidRDefault="00C43914" w:rsidP="008D65D6">
      <w:pPr>
        <w:jc w:val="both"/>
      </w:pPr>
      <w:r>
        <w:t xml:space="preserve">Le respect du principe du double contrôle pendant le dépouillement fait également partie de vos attributions. Le principe du double contrôle n’est pas, lui non plus, une simple mesure de précaution, mais est prescrit par la loi dans les ordonnances cantonales sur les droits politiques. </w:t>
      </w:r>
    </w:p>
    <w:p w14:paraId="16048264" w14:textId="460AEEC0" w:rsidR="00292B0D" w:rsidRDefault="00292B0D" w:rsidP="008D65D6">
      <w:pPr>
        <w:jc w:val="both"/>
      </w:pPr>
    </w:p>
    <w:p w14:paraId="47E945AC" w14:textId="77777777" w:rsidR="000E5E67" w:rsidRDefault="00292B0D" w:rsidP="008D65D6">
      <w:pPr>
        <w:jc w:val="both"/>
      </w:pPr>
      <w:r>
        <w:t xml:space="preserve">Par exemple, l’art. 42 de l’ordonnance sur les droits politiques (ODP) du canton de Berne stipule ceci : </w:t>
      </w:r>
    </w:p>
    <w:p w14:paraId="2C760CF9" w14:textId="32D8F2D9" w:rsidR="00292B0D" w:rsidRDefault="00292B0D" w:rsidP="008D65D6">
      <w:pPr>
        <w:jc w:val="both"/>
      </w:pPr>
      <w:r>
        <w:t xml:space="preserve">« Les opérations qui peuvent avoir une influence sur le résultat du scrutin sont surveillées ou contrôlées par au moins un deuxième membre du bureau électoral. » </w:t>
      </w:r>
    </w:p>
    <w:p w14:paraId="3789F828" w14:textId="4301E32F" w:rsidR="00292B0D" w:rsidRDefault="00292B0D" w:rsidP="008D65D6">
      <w:pPr>
        <w:jc w:val="both"/>
      </w:pPr>
    </w:p>
    <w:p w14:paraId="2677FC57" w14:textId="7870ECB6" w:rsidR="000E5E67" w:rsidRDefault="00334D7B" w:rsidP="008D65D6">
      <w:pPr>
        <w:jc w:val="both"/>
      </w:pPr>
      <w:r>
        <w:t xml:space="preserve">Ce </w:t>
      </w:r>
      <w:r w:rsidR="00292B0D">
        <w:t xml:space="preserve">principe est formulé de manière encore plus détaillée dans l’ordonnance sur les droits politiques (ODP) du canton de Zurich. Ainsi, l’alinéa 20 stipule ceci : </w:t>
      </w:r>
    </w:p>
    <w:p w14:paraId="12FA9954" w14:textId="77777777" w:rsidR="000E5E67" w:rsidRDefault="000E5E67" w:rsidP="008D65D6">
      <w:pPr>
        <w:jc w:val="both"/>
      </w:pPr>
    </w:p>
    <w:p w14:paraId="3A7554F2" w14:textId="41B40530" w:rsidR="00292B0D" w:rsidRDefault="00292B0D" w:rsidP="008D65D6">
      <w:pPr>
        <w:jc w:val="both"/>
      </w:pPr>
      <w:r>
        <w:t xml:space="preserve">« Les opérations se déroulant à l’intérieur du bureau de vote susceptibles d’avoir une influence sur le résultat de l’élection ou de la votation ainsi que le traitement des enveloppes-réponses à la Chancellerie communale conformément à l’al. 37 sont surveillés ou contrôlés par au moins un deuxième membre du bureau de vote ou de l’administration municipale. </w:t>
      </w:r>
    </w:p>
    <w:p w14:paraId="083C3253" w14:textId="4934D2FC" w:rsidR="00292B0D" w:rsidRPr="00C43914" w:rsidRDefault="00292B0D" w:rsidP="008D65D6">
      <w:pPr>
        <w:jc w:val="both"/>
      </w:pPr>
      <w:r>
        <w:t>Aucun membre du bureau de vote ne peut avoir accès seul aux bulletins d’élection et de votation et aux cartes de légitimation. »</w:t>
      </w:r>
    </w:p>
    <w:p w14:paraId="16FBC87D" w14:textId="77777777" w:rsidR="00C43914" w:rsidRDefault="00C43914" w:rsidP="008D65D6">
      <w:pPr>
        <w:jc w:val="both"/>
      </w:pPr>
    </w:p>
    <w:p w14:paraId="27F324CF" w14:textId="77777777" w:rsidR="00AE5C51" w:rsidRPr="00A31E12" w:rsidRDefault="00AE5C51" w:rsidP="008D65D6">
      <w:pPr>
        <w:jc w:val="both"/>
        <w:rPr>
          <w:b/>
          <w:bCs/>
        </w:rPr>
      </w:pPr>
    </w:p>
    <w:p w14:paraId="1E9F375C" w14:textId="5D1B80E3" w:rsidR="00A31E12" w:rsidRDefault="00A31E12" w:rsidP="008D65D6">
      <w:pPr>
        <w:jc w:val="both"/>
      </w:pPr>
    </w:p>
    <w:p w14:paraId="032C74B6" w14:textId="77777777" w:rsidR="00A31E12" w:rsidRPr="00F642A5" w:rsidRDefault="00A31E12" w:rsidP="008D65D6">
      <w:pPr>
        <w:jc w:val="both"/>
      </w:pPr>
    </w:p>
    <w:p w14:paraId="50CC1726" w14:textId="77777777" w:rsidR="00A5121F" w:rsidRPr="00055244" w:rsidRDefault="00A5121F" w:rsidP="008D65D6">
      <w:pPr>
        <w:jc w:val="both"/>
      </w:pPr>
    </w:p>
    <w:p w14:paraId="40A0E226" w14:textId="26CE45ED" w:rsidR="00A5121F" w:rsidRDefault="00A5121F" w:rsidP="008D65D6">
      <w:pPr>
        <w:jc w:val="both"/>
      </w:pPr>
    </w:p>
    <w:p w14:paraId="525D5D8D" w14:textId="77777777" w:rsidR="00B436B4" w:rsidRPr="00C51CFC" w:rsidRDefault="00B436B4" w:rsidP="008D65D6">
      <w:pPr>
        <w:jc w:val="both"/>
      </w:pPr>
    </w:p>
    <w:p w14:paraId="0CF154D7" w14:textId="27F70997" w:rsidR="002C323E" w:rsidRDefault="002C323E" w:rsidP="008D65D6">
      <w:pPr>
        <w:widowControl/>
        <w:overflowPunct/>
        <w:autoSpaceDE/>
        <w:autoSpaceDN/>
        <w:adjustRightInd/>
        <w:spacing w:after="200" w:line="276" w:lineRule="auto"/>
        <w:jc w:val="both"/>
        <w:textAlignment w:val="auto"/>
        <w:rPr>
          <w:rFonts w:asciiTheme="minorHAnsi" w:hAnsiTheme="minorHAnsi"/>
        </w:rPr>
      </w:pPr>
    </w:p>
    <w:p w14:paraId="4B37A7B8" w14:textId="77777777" w:rsidR="00E41BD0" w:rsidRDefault="00E41BD0" w:rsidP="008D65D6">
      <w:pPr>
        <w:widowControl/>
        <w:overflowPunct/>
        <w:autoSpaceDE/>
        <w:autoSpaceDN/>
        <w:adjustRightInd/>
        <w:spacing w:after="200" w:line="276" w:lineRule="auto"/>
        <w:jc w:val="both"/>
        <w:textAlignment w:val="auto"/>
        <w:rPr>
          <w:rFonts w:asciiTheme="minorHAnsi" w:hAnsiTheme="minorHAnsi"/>
        </w:rPr>
      </w:pPr>
    </w:p>
    <w:p w14:paraId="610D42DE" w14:textId="77777777" w:rsidR="00175AA4" w:rsidRDefault="00175AA4" w:rsidP="008D65D6">
      <w:pPr>
        <w:widowControl/>
        <w:overflowPunct/>
        <w:autoSpaceDE/>
        <w:autoSpaceDN/>
        <w:adjustRightInd/>
        <w:spacing w:after="200" w:line="276" w:lineRule="auto"/>
        <w:jc w:val="both"/>
        <w:textAlignment w:val="auto"/>
        <w:rPr>
          <w:rFonts w:asciiTheme="minorHAnsi" w:hAnsiTheme="minorHAnsi"/>
        </w:rPr>
      </w:pPr>
    </w:p>
    <w:p w14:paraId="3F1FF8D4" w14:textId="77777777" w:rsidR="00175AA4" w:rsidRDefault="00175AA4" w:rsidP="008D65D6">
      <w:pPr>
        <w:widowControl/>
        <w:overflowPunct/>
        <w:autoSpaceDE/>
        <w:autoSpaceDN/>
        <w:adjustRightInd/>
        <w:spacing w:after="200" w:line="276" w:lineRule="auto"/>
        <w:jc w:val="both"/>
        <w:textAlignment w:val="auto"/>
        <w:rPr>
          <w:rFonts w:asciiTheme="minorHAnsi" w:hAnsiTheme="minorHAnsi"/>
        </w:rPr>
      </w:pPr>
    </w:p>
    <w:p w14:paraId="091F768C" w14:textId="77777777" w:rsidR="006F2923" w:rsidRDefault="006F2923" w:rsidP="008D65D6">
      <w:pPr>
        <w:widowControl/>
        <w:overflowPunct/>
        <w:autoSpaceDE/>
        <w:autoSpaceDN/>
        <w:adjustRightInd/>
        <w:spacing w:after="200" w:line="276" w:lineRule="auto"/>
        <w:jc w:val="both"/>
        <w:textAlignment w:val="auto"/>
        <w:rPr>
          <w:rFonts w:asciiTheme="minorHAnsi" w:hAnsiTheme="minorHAnsi"/>
        </w:rPr>
      </w:pPr>
    </w:p>
    <w:p w14:paraId="0B9CE3DA" w14:textId="53CA183B" w:rsidR="00AE5C51" w:rsidRDefault="00E0746A" w:rsidP="008D65D6">
      <w:pPr>
        <w:pStyle w:val="Titre1"/>
        <w:jc w:val="both"/>
      </w:pPr>
      <w:r>
        <w:t xml:space="preserve">Groupe 3 : </w:t>
      </w:r>
      <w:r w:rsidR="00DA34B5">
        <w:t>d</w:t>
      </w:r>
      <w:r>
        <w:t>ocuments d’élection et de votation et matériel de vote</w:t>
      </w:r>
    </w:p>
    <w:p w14:paraId="053F6687" w14:textId="77777777" w:rsidR="00055244" w:rsidRPr="00055244" w:rsidRDefault="00055244" w:rsidP="008D65D6">
      <w:pPr>
        <w:jc w:val="both"/>
      </w:pPr>
    </w:p>
    <w:p w14:paraId="63D7E838" w14:textId="762933C7" w:rsidR="006F2923" w:rsidRDefault="00AE5C51" w:rsidP="008D65D6">
      <w:pPr>
        <w:widowControl/>
        <w:overflowPunct/>
        <w:autoSpaceDE/>
        <w:autoSpaceDN/>
        <w:adjustRightInd/>
        <w:spacing w:after="200" w:line="276" w:lineRule="auto"/>
        <w:jc w:val="both"/>
        <w:textAlignment w:val="auto"/>
        <w:rPr>
          <w:rFonts w:asciiTheme="minorHAnsi" w:hAnsiTheme="minorHAnsi"/>
        </w:rPr>
      </w:pPr>
      <w:r>
        <w:rPr>
          <w:rFonts w:asciiTheme="minorHAnsi" w:hAnsiTheme="minorHAnsi"/>
        </w:rPr>
        <w:t xml:space="preserve">Comme vous le savez déjà grâce </w:t>
      </w:r>
      <w:r w:rsidR="00A95E12">
        <w:rPr>
          <w:rFonts w:asciiTheme="minorHAnsi" w:hAnsiTheme="minorHAnsi"/>
        </w:rPr>
        <w:t>au module de connaissances</w:t>
      </w:r>
      <w:r>
        <w:rPr>
          <w:rFonts w:asciiTheme="minorHAnsi" w:hAnsiTheme="minorHAnsi"/>
        </w:rPr>
        <w:t xml:space="preserve">, les </w:t>
      </w:r>
      <w:r w:rsidR="004E7E2E">
        <w:rPr>
          <w:rFonts w:asciiTheme="minorHAnsi" w:hAnsiTheme="minorHAnsi"/>
        </w:rPr>
        <w:t>électeurs</w:t>
      </w:r>
      <w:r>
        <w:rPr>
          <w:rFonts w:asciiTheme="minorHAnsi" w:hAnsiTheme="minorHAnsi"/>
        </w:rPr>
        <w:t xml:space="preserve"> reçoivent avant chaque élection ou chaque votation des documents à titre informatif. La commune est responsable de l’envoi de ces documents. </w:t>
      </w:r>
    </w:p>
    <w:p w14:paraId="73B846A5" w14:textId="7DFB423E" w:rsidR="00F83AAA" w:rsidRDefault="00F83AAA" w:rsidP="008D65D6">
      <w:pPr>
        <w:pStyle w:val="Sous-titre"/>
        <w:jc w:val="both"/>
      </w:pPr>
      <w:r>
        <w:t>Documents d’élection et de votation</w:t>
      </w:r>
    </w:p>
    <w:p w14:paraId="43F317CF" w14:textId="4FCBE12E" w:rsidR="00F83AAA" w:rsidRPr="00F83AAA" w:rsidRDefault="005D0EED" w:rsidP="008D65D6">
      <w:pPr>
        <w:widowControl/>
        <w:overflowPunct/>
        <w:autoSpaceDE/>
        <w:autoSpaceDN/>
        <w:adjustRightInd/>
        <w:spacing w:after="200" w:line="276" w:lineRule="auto"/>
        <w:jc w:val="both"/>
        <w:textAlignment w:val="auto"/>
        <w:rPr>
          <w:rFonts w:asciiTheme="minorHAnsi" w:hAnsiTheme="minorHAnsi"/>
        </w:rPr>
      </w:pPr>
      <w:r>
        <w:t xml:space="preserve">Au niveau fédéral, la rédaction des documents d’élection et de votation incombe à la Confédération. Au niveau cantonal, cette tâche </w:t>
      </w:r>
      <w:r w:rsidR="00215591">
        <w:t>est réalisée par les</w:t>
      </w:r>
      <w:r>
        <w:t xml:space="preserve"> cantons. </w:t>
      </w:r>
      <w:r>
        <w:rPr>
          <w:rFonts w:asciiTheme="minorHAnsi" w:hAnsiTheme="minorHAnsi"/>
        </w:rPr>
        <w:t xml:space="preserve">Outre les documents officiels de la Confédération, des cantons et des communes, il existe également des prestataires « privés », comme easyvote, qui créent une version simplifiée des brochures </w:t>
      </w:r>
      <w:r w:rsidR="00FF4EFF">
        <w:rPr>
          <w:rFonts w:asciiTheme="minorHAnsi" w:hAnsiTheme="minorHAnsi"/>
        </w:rPr>
        <w:t>explicatives</w:t>
      </w:r>
      <w:r>
        <w:rPr>
          <w:rFonts w:asciiTheme="minorHAnsi" w:hAnsiTheme="minorHAnsi"/>
        </w:rPr>
        <w:t xml:space="preserve">. Les communes peuvent les commander et les envoyer par exemple aux jeunes électeurs âgés de 18 à 20 ans. </w:t>
      </w:r>
    </w:p>
    <w:p w14:paraId="46223EF0" w14:textId="6EAF5D49" w:rsidR="00F83AAA" w:rsidRPr="00F83AAA" w:rsidRDefault="005D0EED" w:rsidP="008D65D6">
      <w:pPr>
        <w:jc w:val="both"/>
      </w:pPr>
      <w:r>
        <w:t xml:space="preserve">Au niveau communal, la commune a le devoir d’informer la population. Cela peut également se faire via des séances d’information ou le site Internet. Mais, la plupart du temps, une brochure </w:t>
      </w:r>
      <w:r w:rsidR="00F77CE5">
        <w:t>explicative</w:t>
      </w:r>
      <w:r>
        <w:t xml:space="preserve"> est rédigée. Pour cela, on recueille les intentions de vote pour et contre </w:t>
      </w:r>
      <w:r w:rsidR="00EC0694">
        <w:t xml:space="preserve">les objets soumis au vote </w:t>
      </w:r>
      <w:r>
        <w:t xml:space="preserve">(par exemple auprès des différents partis politiques). </w:t>
      </w:r>
    </w:p>
    <w:p w14:paraId="5361D145" w14:textId="77777777" w:rsidR="00F83AAA" w:rsidRPr="00F83AAA" w:rsidRDefault="00F83AAA" w:rsidP="008D65D6">
      <w:pPr>
        <w:jc w:val="both"/>
      </w:pPr>
    </w:p>
    <w:p w14:paraId="515C67C7" w14:textId="29CF9151" w:rsidR="005D0EED" w:rsidRDefault="00F83AAA" w:rsidP="008D65D6">
      <w:pPr>
        <w:jc w:val="both"/>
      </w:pPr>
      <w:r>
        <w:t xml:space="preserve">Il est prescrit que ces informations doivent être formulées de manière neutre. La commune ou la ville ne doit pas informer unilatéralement. Et cela même si la commune elle-même est favorable à un objet soumis à votation, par exemple dans le cas où elle souhaiterait construire un nouveau bâtiment scolaire. Quel que soit le niveau (communal, cantonal ou fédéral) concerné par le vote, la « position » du pouvoir exécutif et – </w:t>
      </w:r>
      <w:r w:rsidR="00557C9F">
        <w:t>si elle</w:t>
      </w:r>
      <w:r>
        <w:t xml:space="preserve"> </w:t>
      </w:r>
      <w:r w:rsidR="00557C9F">
        <w:t xml:space="preserve">est disponible </w:t>
      </w:r>
      <w:r>
        <w:t xml:space="preserve">– du pouvoir législatif figure dans les informations. Par exemple, il est signalé que le Conseil des </w:t>
      </w:r>
      <w:r w:rsidR="00985ED3">
        <w:t>É</w:t>
      </w:r>
      <w:r>
        <w:t>tats a approuvé le projet par XX voix contre XX.</w:t>
      </w:r>
    </w:p>
    <w:p w14:paraId="6BF8F780" w14:textId="77777777" w:rsidR="00F83AAA" w:rsidRPr="00F83AAA" w:rsidRDefault="00F83AAA" w:rsidP="008D65D6">
      <w:pPr>
        <w:jc w:val="both"/>
      </w:pPr>
    </w:p>
    <w:p w14:paraId="7ACE6313" w14:textId="2A65DEF0" w:rsidR="00F97CB4" w:rsidRDefault="006753A2" w:rsidP="008D65D6">
      <w:pPr>
        <w:pStyle w:val="Sous-titre"/>
        <w:jc w:val="both"/>
      </w:pPr>
      <w:r>
        <w:t>Matériel de vote</w:t>
      </w:r>
    </w:p>
    <w:p w14:paraId="442F9364" w14:textId="150817A2" w:rsidR="00AD2E87" w:rsidRDefault="00AD2E87" w:rsidP="008D65D6">
      <w:pPr>
        <w:widowControl/>
        <w:overflowPunct/>
        <w:autoSpaceDE/>
        <w:autoSpaceDN/>
        <w:adjustRightInd/>
        <w:spacing w:after="200" w:line="276" w:lineRule="auto"/>
        <w:jc w:val="both"/>
        <w:textAlignment w:val="auto"/>
        <w:rPr>
          <w:rFonts w:asciiTheme="minorHAnsi" w:hAnsiTheme="minorHAnsi"/>
        </w:rPr>
      </w:pPr>
      <w:r>
        <w:rPr>
          <w:rFonts w:asciiTheme="minorHAnsi" w:hAnsiTheme="minorHAnsi"/>
        </w:rPr>
        <w:t xml:space="preserve">En plus de ces documents, les citoyens reçoivent le matériel de vote par l’intermédiaire de la commune : bulletins de </w:t>
      </w:r>
      <w:r w:rsidR="00CF0FAF">
        <w:rPr>
          <w:rFonts w:asciiTheme="minorHAnsi" w:hAnsiTheme="minorHAnsi"/>
        </w:rPr>
        <w:t xml:space="preserve">vote </w:t>
      </w:r>
      <w:r>
        <w:rPr>
          <w:rFonts w:asciiTheme="minorHAnsi" w:hAnsiTheme="minorHAnsi"/>
        </w:rPr>
        <w:t xml:space="preserve">et bulletins d’élection, carte de </w:t>
      </w:r>
      <w:r w:rsidR="00CF0FAF">
        <w:rPr>
          <w:rFonts w:asciiTheme="minorHAnsi" w:hAnsiTheme="minorHAnsi"/>
        </w:rPr>
        <w:t>légitimation</w:t>
      </w:r>
      <w:r>
        <w:rPr>
          <w:rFonts w:asciiTheme="minorHAnsi" w:hAnsiTheme="minorHAnsi"/>
        </w:rPr>
        <w:t xml:space="preserve">, enveloppes de vote. Non seulement les documents de votation et d’élection, mais aussi </w:t>
      </w:r>
      <w:r w:rsidR="006750D5">
        <w:rPr>
          <w:rFonts w:asciiTheme="minorHAnsi" w:hAnsiTheme="minorHAnsi"/>
        </w:rPr>
        <w:t xml:space="preserve">la conception </w:t>
      </w:r>
      <w:r w:rsidR="00C017BB">
        <w:rPr>
          <w:rFonts w:asciiTheme="minorHAnsi" w:hAnsiTheme="minorHAnsi"/>
        </w:rPr>
        <w:t xml:space="preserve">de ces </w:t>
      </w:r>
      <w:r>
        <w:rPr>
          <w:rFonts w:asciiTheme="minorHAnsi" w:hAnsiTheme="minorHAnsi"/>
        </w:rPr>
        <w:t xml:space="preserve">documents sont soumis à des prescriptions légales. </w:t>
      </w:r>
    </w:p>
    <w:p w14:paraId="40971579" w14:textId="2CC79DEB" w:rsidR="00F83AAA" w:rsidRDefault="00C3255B" w:rsidP="008D65D6">
      <w:pPr>
        <w:jc w:val="both"/>
      </w:pPr>
      <w:r>
        <w:t xml:space="preserve">Les cartes de </w:t>
      </w:r>
      <w:r w:rsidR="00BE45D2">
        <w:t xml:space="preserve">légitimation </w:t>
      </w:r>
      <w:r>
        <w:t xml:space="preserve">(aussi appelées « carte de </w:t>
      </w:r>
      <w:r w:rsidR="0038424B">
        <w:t>vote </w:t>
      </w:r>
      <w:r>
        <w:t xml:space="preserve">» ou « certificat de capacité civique » selon le canton) sont imprimées sur la base du registre électoral. On y trouve d’un côté l’adresse de </w:t>
      </w:r>
      <w:r w:rsidR="00A52669">
        <w:t>l’électeur</w:t>
      </w:r>
      <w:r>
        <w:t xml:space="preserve">, de l’autre l’adresse de la commune ou de la ville. La date de la votation ou de l’élection doit elle aussi être indiquée. </w:t>
      </w:r>
    </w:p>
    <w:p w14:paraId="6D696F91" w14:textId="77777777" w:rsidR="00C3255B" w:rsidRPr="00C3255B" w:rsidRDefault="00C3255B" w:rsidP="008D65D6">
      <w:pPr>
        <w:jc w:val="both"/>
        <w:rPr>
          <w:rFonts w:asciiTheme="minorHAnsi" w:hAnsiTheme="minorHAnsi"/>
        </w:rPr>
      </w:pPr>
    </w:p>
    <w:p w14:paraId="3BF09339" w14:textId="4877FE01" w:rsidR="006753A2" w:rsidRDefault="00AD2E87" w:rsidP="008D65D6">
      <w:pPr>
        <w:widowControl/>
        <w:overflowPunct/>
        <w:autoSpaceDE/>
        <w:autoSpaceDN/>
        <w:adjustRightInd/>
        <w:spacing w:after="200" w:line="276" w:lineRule="auto"/>
        <w:jc w:val="both"/>
        <w:textAlignment w:val="auto"/>
        <w:rPr>
          <w:rFonts w:asciiTheme="minorHAnsi" w:hAnsiTheme="minorHAnsi"/>
        </w:rPr>
      </w:pPr>
      <w:r>
        <w:rPr>
          <w:rFonts w:asciiTheme="minorHAnsi" w:hAnsiTheme="minorHAnsi"/>
        </w:rPr>
        <w:t xml:space="preserve">En Suisse, les </w:t>
      </w:r>
      <w:r w:rsidR="00A52669">
        <w:rPr>
          <w:rFonts w:asciiTheme="minorHAnsi" w:hAnsiTheme="minorHAnsi"/>
        </w:rPr>
        <w:t>électeurs</w:t>
      </w:r>
      <w:r>
        <w:rPr>
          <w:rFonts w:asciiTheme="minorHAnsi" w:hAnsiTheme="minorHAnsi"/>
        </w:rPr>
        <w:t xml:space="preserve"> reçoivent deux enveloppes avant chaque élection ou votation</w:t>
      </w:r>
      <w:r w:rsidR="00555B93">
        <w:rPr>
          <w:rFonts w:asciiTheme="minorHAnsi" w:hAnsiTheme="minorHAnsi"/>
        </w:rPr>
        <w:t> </w:t>
      </w:r>
      <w:r>
        <w:rPr>
          <w:rFonts w:asciiTheme="minorHAnsi" w:hAnsiTheme="minorHAnsi"/>
        </w:rPr>
        <w:t xml:space="preserve">: </w:t>
      </w:r>
    </w:p>
    <w:p w14:paraId="12989281" w14:textId="55F3AD3B" w:rsidR="006753A2" w:rsidRPr="00222A80" w:rsidRDefault="00F97CB4" w:rsidP="008D65D6">
      <w:pPr>
        <w:pStyle w:val="Paragraphedeliste"/>
        <w:widowControl/>
        <w:numPr>
          <w:ilvl w:val="0"/>
          <w:numId w:val="37"/>
        </w:numPr>
        <w:overflowPunct/>
        <w:autoSpaceDE/>
        <w:autoSpaceDN/>
        <w:adjustRightInd/>
        <w:spacing w:after="200" w:line="276" w:lineRule="auto"/>
        <w:jc w:val="both"/>
        <w:textAlignment w:val="auto"/>
        <w:rPr>
          <w:rFonts w:asciiTheme="minorHAnsi" w:hAnsiTheme="minorHAnsi"/>
        </w:rPr>
      </w:pPr>
      <w:r>
        <w:t>L’enveloppe de vote</w:t>
      </w:r>
      <w:r w:rsidR="00555B93">
        <w:t> </w:t>
      </w:r>
      <w:r>
        <w:t>:</w:t>
      </w:r>
      <w:r w:rsidR="009D3DF3">
        <w:t xml:space="preserve"> dans </w:t>
      </w:r>
      <w:r w:rsidR="008605AB">
        <w:t xml:space="preserve">cette </w:t>
      </w:r>
      <w:r>
        <w:t xml:space="preserve">enveloppe </w:t>
      </w:r>
      <w:r w:rsidR="009D3DF3">
        <w:t xml:space="preserve">sont placés </w:t>
      </w:r>
      <w:r>
        <w:t xml:space="preserve">les bulletins de vote et les bulletins d’élection remplis. </w:t>
      </w:r>
    </w:p>
    <w:p w14:paraId="3F6C414E" w14:textId="0049A34E" w:rsidR="00F97CB4" w:rsidRPr="00222A80" w:rsidRDefault="00F97CB4" w:rsidP="008D65D6">
      <w:pPr>
        <w:pStyle w:val="Paragraphedeliste"/>
        <w:widowControl/>
        <w:numPr>
          <w:ilvl w:val="0"/>
          <w:numId w:val="37"/>
        </w:numPr>
        <w:overflowPunct/>
        <w:autoSpaceDE/>
        <w:autoSpaceDN/>
        <w:adjustRightInd/>
        <w:spacing w:after="200" w:line="276" w:lineRule="auto"/>
        <w:jc w:val="both"/>
        <w:textAlignment w:val="auto"/>
        <w:rPr>
          <w:rFonts w:asciiTheme="minorHAnsi" w:hAnsiTheme="minorHAnsi"/>
        </w:rPr>
      </w:pPr>
      <w:r>
        <w:t>L’enveloppe-réponse</w:t>
      </w:r>
      <w:r w:rsidR="00555B93">
        <w:t> </w:t>
      </w:r>
      <w:r>
        <w:t xml:space="preserve">: cette enveloppe (une enveloppe à fenêtre) sert à envoyer les documents aux personnes ayant le droit de vote et, le cas échéant, à les retourner. </w:t>
      </w:r>
    </w:p>
    <w:p w14:paraId="62A103DA" w14:textId="6846E0E4" w:rsidR="006753A2" w:rsidRDefault="006753A2" w:rsidP="008D65D6">
      <w:pPr>
        <w:widowControl/>
        <w:overflowPunct/>
        <w:autoSpaceDE/>
        <w:autoSpaceDN/>
        <w:adjustRightInd/>
        <w:spacing w:after="200" w:line="276" w:lineRule="auto"/>
        <w:jc w:val="both"/>
        <w:textAlignment w:val="auto"/>
        <w:rPr>
          <w:rFonts w:asciiTheme="minorHAnsi" w:hAnsiTheme="minorHAnsi"/>
        </w:rPr>
      </w:pPr>
      <w:r>
        <w:rPr>
          <w:rFonts w:asciiTheme="minorHAnsi" w:hAnsiTheme="minorHAnsi"/>
        </w:rPr>
        <w:t>Selon les cantons, il existe des prescriptions légales</w:t>
      </w:r>
      <w:r w:rsidR="00555B93">
        <w:rPr>
          <w:rFonts w:asciiTheme="minorHAnsi" w:hAnsiTheme="minorHAnsi"/>
        </w:rPr>
        <w:t>,</w:t>
      </w:r>
      <w:r>
        <w:rPr>
          <w:rFonts w:asciiTheme="minorHAnsi" w:hAnsiTheme="minorHAnsi"/>
        </w:rPr>
        <w:t xml:space="preserve"> notamment en ce qui concerne l’enveloppe-réponse ou la carte de légitimation. L’ordonnance sur les droits politiques du canton d’Argovie, art. 25, al. 4, stipule par exemple ceci : « L’enveloppe-réponse ou la carte de légitimation doit contenir les indications nécessaires sur la procédure à suivre pour le vote par correspondance. » </w:t>
      </w:r>
    </w:p>
    <w:p w14:paraId="4D4BAA19" w14:textId="1B721500" w:rsidR="006753A2" w:rsidRDefault="005F1296" w:rsidP="008D65D6">
      <w:pPr>
        <w:widowControl/>
        <w:overflowPunct/>
        <w:autoSpaceDE/>
        <w:autoSpaceDN/>
        <w:adjustRightInd/>
        <w:spacing w:after="200" w:line="276" w:lineRule="auto"/>
        <w:jc w:val="both"/>
        <w:textAlignment w:val="auto"/>
        <w:rPr>
          <w:rFonts w:asciiTheme="minorHAnsi" w:hAnsiTheme="minorHAnsi"/>
        </w:rPr>
      </w:pPr>
      <w:r>
        <w:rPr>
          <w:rFonts w:asciiTheme="minorHAnsi" w:hAnsiTheme="minorHAnsi"/>
        </w:rPr>
        <w:t xml:space="preserve">Le canton de Zurich prescrit lui aussi d’autres informations et stipule par exemple que des informations complémentaires sur le vote par correspondance et le vote à l’urne doivent être imprimées sur les documents d’élection et de votation (ordonnance sur les droits politiques (ODP), art. 29). Il est toutefois aussi possible d’envoyer ces informations sur une fiche d’information complémentaire si nécessaire. </w:t>
      </w:r>
    </w:p>
    <w:p w14:paraId="029C67F6" w14:textId="16C14043" w:rsidR="00AD2E87" w:rsidRPr="006753A2" w:rsidRDefault="002350D5" w:rsidP="008D65D6">
      <w:pPr>
        <w:widowControl/>
        <w:overflowPunct/>
        <w:autoSpaceDE/>
        <w:autoSpaceDN/>
        <w:adjustRightInd/>
        <w:spacing w:after="200" w:line="276" w:lineRule="auto"/>
        <w:jc w:val="both"/>
        <w:textAlignment w:val="auto"/>
        <w:rPr>
          <w:rFonts w:asciiTheme="minorHAnsi" w:hAnsiTheme="minorHAnsi"/>
        </w:rPr>
      </w:pPr>
      <w:r>
        <w:rPr>
          <w:rFonts w:asciiTheme="minorHAnsi" w:hAnsiTheme="minorHAnsi"/>
        </w:rPr>
        <w:t>Pour approfondir et illustrer</w:t>
      </w:r>
      <w:r w:rsidR="00AD2E87">
        <w:rPr>
          <w:rFonts w:asciiTheme="minorHAnsi" w:hAnsiTheme="minorHAnsi"/>
        </w:rPr>
        <w:t xml:space="preserve"> ce thème, consultez les documents complémentaires relatifs à la carte de </w:t>
      </w:r>
      <w:r w:rsidR="00DD59FF">
        <w:rPr>
          <w:rFonts w:asciiTheme="minorHAnsi" w:hAnsiTheme="minorHAnsi"/>
        </w:rPr>
        <w:t>légitimation</w:t>
      </w:r>
      <w:r w:rsidR="00AD2E87">
        <w:rPr>
          <w:rFonts w:asciiTheme="minorHAnsi" w:hAnsiTheme="minorHAnsi"/>
        </w:rPr>
        <w:t xml:space="preserve">, à l’enveloppe de vote et à l’enveloppe-réponse. </w:t>
      </w:r>
    </w:p>
    <w:p w14:paraId="00FAE0C8" w14:textId="77777777" w:rsidR="00F97CB4" w:rsidRDefault="00F97CB4" w:rsidP="008D65D6">
      <w:pPr>
        <w:widowControl/>
        <w:overflowPunct/>
        <w:autoSpaceDE/>
        <w:autoSpaceDN/>
        <w:adjustRightInd/>
        <w:spacing w:after="200" w:line="276" w:lineRule="auto"/>
        <w:jc w:val="both"/>
        <w:textAlignment w:val="auto"/>
        <w:rPr>
          <w:rFonts w:asciiTheme="minorHAnsi" w:hAnsiTheme="minorHAnsi"/>
        </w:rPr>
      </w:pPr>
    </w:p>
    <w:p w14:paraId="22CA684A" w14:textId="77777777" w:rsidR="00147EF4" w:rsidRDefault="00147EF4" w:rsidP="008D65D6">
      <w:pPr>
        <w:widowControl/>
        <w:overflowPunct/>
        <w:autoSpaceDE/>
        <w:autoSpaceDN/>
        <w:adjustRightInd/>
        <w:spacing w:after="200" w:line="276" w:lineRule="auto"/>
        <w:jc w:val="both"/>
        <w:textAlignment w:val="auto"/>
        <w:rPr>
          <w:rFonts w:asciiTheme="minorHAnsi" w:hAnsiTheme="minorHAnsi"/>
        </w:rPr>
      </w:pPr>
    </w:p>
    <w:p w14:paraId="07800075" w14:textId="77777777" w:rsidR="00AE5C51" w:rsidRDefault="00AE5C51" w:rsidP="008D65D6">
      <w:pPr>
        <w:widowControl/>
        <w:overflowPunct/>
        <w:autoSpaceDE/>
        <w:autoSpaceDN/>
        <w:adjustRightInd/>
        <w:spacing w:after="200" w:line="276" w:lineRule="auto"/>
        <w:jc w:val="both"/>
        <w:textAlignment w:val="auto"/>
        <w:rPr>
          <w:rFonts w:asciiTheme="minorHAnsi" w:hAnsiTheme="minorHAnsi"/>
        </w:rPr>
      </w:pPr>
    </w:p>
    <w:p w14:paraId="35DFEC8C" w14:textId="77777777" w:rsidR="00AE61FA" w:rsidRPr="00AE61FA" w:rsidRDefault="00AE61FA" w:rsidP="008D65D6">
      <w:pPr>
        <w:jc w:val="both"/>
      </w:pPr>
    </w:p>
    <w:sectPr w:rsidR="00AE61FA" w:rsidRPr="00AE61FA" w:rsidSect="0024762B">
      <w:headerReference w:type="default" r:id="rId13"/>
      <w:footerReference w:type="default" r:id="rId14"/>
      <w:headerReference w:type="first" r:id="rId15"/>
      <w:footerReference w:type="first" r:id="rId16"/>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C562" w14:textId="77777777" w:rsidR="00560F2D" w:rsidRDefault="00560F2D" w:rsidP="005F2991">
      <w:r>
        <w:separator/>
      </w:r>
    </w:p>
  </w:endnote>
  <w:endnote w:type="continuationSeparator" w:id="0">
    <w:p w14:paraId="792D2860" w14:textId="77777777" w:rsidR="00560F2D" w:rsidRDefault="00560F2D" w:rsidP="005F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6E31" w14:textId="097E93E3" w:rsidR="0024762B" w:rsidRDefault="0024762B" w:rsidP="0024762B">
    <w:pPr>
      <w:pStyle w:val="Pieddepage"/>
    </w:pPr>
    <w:r>
      <w:t>Employé de commerce CFC FIEn</w:t>
    </w:r>
  </w:p>
  <w:p w14:paraId="4F5831D4" w14:textId="16F6EB2F" w:rsidR="0024762B" w:rsidRDefault="00014A26" w:rsidP="0024762B">
    <w:pPr>
      <w:pStyle w:val="Pieddepage"/>
    </w:pPr>
    <w:r>
      <w:t xml:space="preserve">© Branche « Öffentliche Verwaltung/Administration publique/Amministrazione pubblica »     </w:t>
    </w:r>
    <w:r>
      <w:tab/>
      <w:t xml:space="preserve">Page </w:t>
    </w:r>
    <w:r w:rsidR="0024762B">
      <w:fldChar w:fldCharType="begin"/>
    </w:r>
    <w:r w:rsidR="0024762B">
      <w:instrText>PAGE   \* MERGEFORMAT</w:instrText>
    </w:r>
    <w:r w:rsidR="0024762B">
      <w:fldChar w:fldCharType="separate"/>
    </w:r>
    <w:r w:rsidR="00E4635F" w:rsidRPr="00E4635F">
      <w:t>2</w:t>
    </w:r>
    <w:r w:rsidR="0024762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A31C" w14:textId="77777777" w:rsidR="001D5E79" w:rsidRPr="00C25B1B" w:rsidRDefault="00C53A6B" w:rsidP="00C013DE">
    <w:pPr>
      <w:pStyle w:val="Pieddepage"/>
      <w:rPr>
        <w:sz w:val="16"/>
        <w:lang w:val="de-DE"/>
      </w:rPr>
    </w:pPr>
    <w:r w:rsidRPr="00C25B1B">
      <w:rPr>
        <w:sz w:val="16"/>
        <w:lang w:val="de-DE"/>
      </w:rPr>
      <w:t>00_00</w:t>
    </w:r>
    <w:r w:rsidRPr="00C25B1B">
      <w:rPr>
        <w:sz w:val="16"/>
        <w:lang w:val="de-DE"/>
      </w:rPr>
      <w:tab/>
      <w:t>Branche Öffentliche Verwaltung/Administration publique/Amministrazione pubblica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1A8B9" w14:textId="77777777" w:rsidR="00560F2D" w:rsidRDefault="00560F2D" w:rsidP="005F2991">
      <w:r>
        <w:separator/>
      </w:r>
    </w:p>
  </w:footnote>
  <w:footnote w:type="continuationSeparator" w:id="0">
    <w:p w14:paraId="7FF4F9A6" w14:textId="77777777" w:rsidR="00560F2D" w:rsidRDefault="00560F2D" w:rsidP="005F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F8B0" w14:textId="3D6214E4" w:rsidR="0024762B" w:rsidRDefault="00830572" w:rsidP="0024762B">
    <w:pPr>
      <w:pStyle w:val="En-tte"/>
      <w:jc w:val="right"/>
    </w:pPr>
    <w:r>
      <w:rPr>
        <w:b/>
        <w:bCs/>
        <w:noProof/>
      </w:rPr>
      <w:drawing>
        <wp:anchor distT="0" distB="0" distL="114300" distR="114300" simplePos="0" relativeHeight="251659264" behindDoc="1" locked="0" layoutInCell="1" allowOverlap="1" wp14:anchorId="0EC5512F" wp14:editId="69E92F53">
          <wp:simplePos x="0" y="0"/>
          <wp:positionH relativeFrom="margin">
            <wp:align>right</wp:align>
          </wp:positionH>
          <wp:positionV relativeFrom="paragraph">
            <wp:posOffset>-272143</wp:posOffset>
          </wp:positionV>
          <wp:extent cx="1683275" cy="573365"/>
          <wp:effectExtent l="0" t="0" r="0" b="0"/>
          <wp:wrapNone/>
          <wp:docPr id="1" name="Image 1" descr="Une image contenant noir, obscurité, noir et blanc, monochro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noir, obscurité, noir et blanc, monochro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683275" cy="573365"/>
                  </a:xfrm>
                  <a:prstGeom prst="rect">
                    <a:avLst/>
                  </a:prstGeom>
                </pic:spPr>
              </pic:pic>
            </a:graphicData>
          </a:graphic>
          <wp14:sizeRelH relativeFrom="page">
            <wp14:pctWidth>0</wp14:pctWidth>
          </wp14:sizeRelH>
          <wp14:sizeRelV relativeFrom="page">
            <wp14:pctHeight>0</wp14:pctHeight>
          </wp14:sizeRelV>
        </wp:anchor>
      </w:drawing>
    </w:r>
    <w:r w:rsidRPr="008776D7">
      <w:rPr>
        <w:i/>
        <w:iCs/>
        <w:sz w:val="20"/>
      </w:rPr>
      <w:t>03_</w:t>
    </w:r>
    <w:r>
      <w:rPr>
        <w:i/>
        <w:iCs/>
        <w:sz w:val="20"/>
      </w:rPr>
      <w:t>RESUME</w:t>
    </w:r>
    <w:r>
      <w:rPr>
        <w:i/>
        <w:iCs/>
        <w:sz w:val="20"/>
      </w:rPr>
      <w:t>_EXEMPLE</w:t>
    </w:r>
    <w:r w:rsidRPr="00830572">
      <w:rPr>
        <w:i/>
        <w:iCs/>
        <w:sz w:val="20"/>
      </w:rPr>
      <w:ptab w:relativeTo="margin" w:alignment="center" w:leader="none"/>
    </w:r>
    <w:r w:rsidRPr="00830572">
      <w:rPr>
        <w:i/>
        <w:iCs/>
        <w:sz w:val="20"/>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01C6" w14:textId="77777777" w:rsidR="001D5E79" w:rsidRDefault="001D5E79" w:rsidP="001D5E79">
    <w:pPr>
      <w:pStyle w:val="En-tte"/>
      <w:jc w:val="right"/>
    </w:pPr>
  </w:p>
  <w:p w14:paraId="5E94BD61"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8CAE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D0FE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3C58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44B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7C73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409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7836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422D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9A3F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EA21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34644"/>
    <w:multiLevelType w:val="multilevel"/>
    <w:tmpl w:val="5CE075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D81126"/>
    <w:multiLevelType w:val="multilevel"/>
    <w:tmpl w:val="C8F88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2254B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152F46"/>
    <w:multiLevelType w:val="hybridMultilevel"/>
    <w:tmpl w:val="B69CF4B0"/>
    <w:lvl w:ilvl="0" w:tplc="C4A6A366">
      <w:start w:val="2"/>
      <w:numFmt w:val="decimal"/>
      <w:lvlText w:val="%1.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18B472A8"/>
    <w:multiLevelType w:val="hybridMultilevel"/>
    <w:tmpl w:val="6B2E5440"/>
    <w:lvl w:ilvl="0" w:tplc="CB448810">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5" w15:restartNumberingAfterBreak="0">
    <w:nsid w:val="1A88780B"/>
    <w:multiLevelType w:val="hybridMultilevel"/>
    <w:tmpl w:val="155007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E2D5E8B"/>
    <w:multiLevelType w:val="hybridMultilevel"/>
    <w:tmpl w:val="ED86BA2A"/>
    <w:lvl w:ilvl="0" w:tplc="DA0C8CD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3121B5F"/>
    <w:multiLevelType w:val="hybridMultilevel"/>
    <w:tmpl w:val="2668D694"/>
    <w:lvl w:ilvl="0" w:tplc="900C95B6">
      <w:start w:val="1"/>
      <w:numFmt w:val="bullet"/>
      <w:pStyle w:val="Listepuces"/>
      <w:lvlText w:val="–"/>
      <w:lvlJc w:val="left"/>
      <w:pPr>
        <w:ind w:left="360" w:hanging="360"/>
      </w:pPr>
      <w:rPr>
        <w:rFonts w:ascii="HelveticaNeueLT Std" w:hAnsi="HelveticaNeueLT Std"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29253D47"/>
    <w:multiLevelType w:val="hybridMultilevel"/>
    <w:tmpl w:val="C6D8D29E"/>
    <w:lvl w:ilvl="0" w:tplc="63041018">
      <w:start w:val="2"/>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A401A1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967526"/>
    <w:multiLevelType w:val="hybridMultilevel"/>
    <w:tmpl w:val="85241862"/>
    <w:lvl w:ilvl="0" w:tplc="0807000F">
      <w:start w:val="1"/>
      <w:numFmt w:val="decimal"/>
      <w:lvlText w:val="%1."/>
      <w:lvlJc w:val="left"/>
      <w:pPr>
        <w:ind w:left="360" w:hanging="360"/>
      </w:pPr>
    </w:lvl>
    <w:lvl w:ilvl="1" w:tplc="2F1A7F2E">
      <w:start w:val="1"/>
      <w:numFmt w:val="decimal"/>
      <w:lvlText w:val="%2.1"/>
      <w:lvlJc w:val="left"/>
      <w:pPr>
        <w:ind w:left="1080" w:hanging="360"/>
      </w:pPr>
      <w:rPr>
        <w:rFonts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1" w15:restartNumberingAfterBreak="0">
    <w:nsid w:val="2DA725D3"/>
    <w:multiLevelType w:val="hybridMultilevel"/>
    <w:tmpl w:val="69F8B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8041B0"/>
    <w:multiLevelType w:val="hybridMultilevel"/>
    <w:tmpl w:val="275A1D84"/>
    <w:lvl w:ilvl="0" w:tplc="47E461E0">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3" w15:restartNumberingAfterBreak="0">
    <w:nsid w:val="412607B1"/>
    <w:multiLevelType w:val="hybridMultilevel"/>
    <w:tmpl w:val="82CEAFDC"/>
    <w:lvl w:ilvl="0" w:tplc="BF269A3C">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79321B5"/>
    <w:multiLevelType w:val="hybridMultilevel"/>
    <w:tmpl w:val="F8F0A494"/>
    <w:lvl w:ilvl="0" w:tplc="F8081276">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25" w15:restartNumberingAfterBreak="0">
    <w:nsid w:val="49EA5B0A"/>
    <w:multiLevelType w:val="hybridMultilevel"/>
    <w:tmpl w:val="7E5899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B6A5F49"/>
    <w:multiLevelType w:val="hybridMultilevel"/>
    <w:tmpl w:val="098A4E0C"/>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5124E67"/>
    <w:multiLevelType w:val="hybridMultilevel"/>
    <w:tmpl w:val="F412FC62"/>
    <w:lvl w:ilvl="0" w:tplc="1B28436E">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8" w15:restartNumberingAfterBreak="0">
    <w:nsid w:val="59067989"/>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995F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6E7451"/>
    <w:multiLevelType w:val="hybridMultilevel"/>
    <w:tmpl w:val="55DAFB04"/>
    <w:lvl w:ilvl="0" w:tplc="5B9025CE">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88800F6"/>
    <w:multiLevelType w:val="hybridMultilevel"/>
    <w:tmpl w:val="946ECDBA"/>
    <w:lvl w:ilvl="0" w:tplc="4EC44E76">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699307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0A24EEE"/>
    <w:multiLevelType w:val="hybridMultilevel"/>
    <w:tmpl w:val="67048BC4"/>
    <w:lvl w:ilvl="0" w:tplc="1B28436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3BB305C"/>
    <w:multiLevelType w:val="multilevel"/>
    <w:tmpl w:val="5292FB46"/>
    <w:lvl w:ilvl="0">
      <w:start w:val="1"/>
      <w:numFmt w:val="decimal"/>
      <w:lvlText w:val="%1"/>
      <w:lvlJc w:val="left"/>
      <w:pPr>
        <w:ind w:left="432" w:hanging="432"/>
      </w:pPr>
    </w:lvl>
    <w:lvl w:ilvl="1">
      <w:start w:val="1"/>
      <w:numFmt w:val="decimal"/>
      <w:pStyle w:val="Titre2"/>
      <w:lvlText w:val="%1.%2"/>
      <w:lvlJc w:val="left"/>
      <w:pPr>
        <w:ind w:left="576" w:hanging="576"/>
      </w:pPr>
      <w:rPr>
        <w:sz w:val="24"/>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5" w15:restartNumberingAfterBreak="0">
    <w:nsid w:val="77A96E2C"/>
    <w:multiLevelType w:val="hybridMultilevel"/>
    <w:tmpl w:val="DEE47304"/>
    <w:lvl w:ilvl="0" w:tplc="1B28436E">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6" w15:restartNumberingAfterBreak="0">
    <w:nsid w:val="7E654B29"/>
    <w:multiLevelType w:val="hybridMultilevel"/>
    <w:tmpl w:val="72EC22E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7" w15:restartNumberingAfterBreak="0">
    <w:nsid w:val="7F693FD6"/>
    <w:multiLevelType w:val="hybridMultilevel"/>
    <w:tmpl w:val="6A4ED2E4"/>
    <w:lvl w:ilvl="0" w:tplc="1B28436E">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num w:numId="1" w16cid:durableId="1554661055">
    <w:abstractNumId w:val="20"/>
  </w:num>
  <w:num w:numId="2" w16cid:durableId="1061562933">
    <w:abstractNumId w:val="13"/>
  </w:num>
  <w:num w:numId="3" w16cid:durableId="2104378094">
    <w:abstractNumId w:val="28"/>
  </w:num>
  <w:num w:numId="4" w16cid:durableId="1488203794">
    <w:abstractNumId w:val="19"/>
  </w:num>
  <w:num w:numId="5" w16cid:durableId="983655992">
    <w:abstractNumId w:val="12"/>
  </w:num>
  <w:num w:numId="6" w16cid:durableId="1621035919">
    <w:abstractNumId w:val="11"/>
  </w:num>
  <w:num w:numId="7" w16cid:durableId="899101523">
    <w:abstractNumId w:val="10"/>
  </w:num>
  <w:num w:numId="8" w16cid:durableId="514613841">
    <w:abstractNumId w:val="29"/>
  </w:num>
  <w:num w:numId="9" w16cid:durableId="1134952687">
    <w:abstractNumId w:val="23"/>
  </w:num>
  <w:num w:numId="10" w16cid:durableId="749616127">
    <w:abstractNumId w:val="30"/>
  </w:num>
  <w:num w:numId="11" w16cid:durableId="875586774">
    <w:abstractNumId w:val="32"/>
  </w:num>
  <w:num w:numId="12" w16cid:durableId="2021197116">
    <w:abstractNumId w:val="24"/>
  </w:num>
  <w:num w:numId="13" w16cid:durableId="1182352461">
    <w:abstractNumId w:val="14"/>
  </w:num>
  <w:num w:numId="14" w16cid:durableId="1078745672">
    <w:abstractNumId w:val="34"/>
  </w:num>
  <w:num w:numId="15" w16cid:durableId="978535378">
    <w:abstractNumId w:val="9"/>
  </w:num>
  <w:num w:numId="16" w16cid:durableId="638875745">
    <w:abstractNumId w:val="7"/>
  </w:num>
  <w:num w:numId="17" w16cid:durableId="357047035">
    <w:abstractNumId w:val="6"/>
  </w:num>
  <w:num w:numId="18" w16cid:durableId="1375076990">
    <w:abstractNumId w:val="5"/>
  </w:num>
  <w:num w:numId="19" w16cid:durableId="1905143489">
    <w:abstractNumId w:val="4"/>
  </w:num>
  <w:num w:numId="20" w16cid:durableId="1541623189">
    <w:abstractNumId w:val="8"/>
  </w:num>
  <w:num w:numId="21" w16cid:durableId="819466485">
    <w:abstractNumId w:val="3"/>
  </w:num>
  <w:num w:numId="22" w16cid:durableId="410079485">
    <w:abstractNumId w:val="2"/>
  </w:num>
  <w:num w:numId="23" w16cid:durableId="2022312190">
    <w:abstractNumId w:val="1"/>
  </w:num>
  <w:num w:numId="24" w16cid:durableId="1199778628">
    <w:abstractNumId w:val="0"/>
  </w:num>
  <w:num w:numId="25" w16cid:durableId="50157023">
    <w:abstractNumId w:val="17"/>
  </w:num>
  <w:num w:numId="26" w16cid:durableId="361975261">
    <w:abstractNumId w:val="22"/>
  </w:num>
  <w:num w:numId="27" w16cid:durableId="609438140">
    <w:abstractNumId w:val="21"/>
  </w:num>
  <w:num w:numId="28" w16cid:durableId="1414937871">
    <w:abstractNumId w:val="26"/>
  </w:num>
  <w:num w:numId="29" w16cid:durableId="1045250457">
    <w:abstractNumId w:val="36"/>
  </w:num>
  <w:num w:numId="30" w16cid:durableId="346951272">
    <w:abstractNumId w:val="18"/>
  </w:num>
  <w:num w:numId="31" w16cid:durableId="508716168">
    <w:abstractNumId w:val="25"/>
  </w:num>
  <w:num w:numId="32" w16cid:durableId="1278559649">
    <w:abstractNumId w:val="16"/>
  </w:num>
  <w:num w:numId="33" w16cid:durableId="1565680655">
    <w:abstractNumId w:val="15"/>
  </w:num>
  <w:num w:numId="34" w16cid:durableId="1796948033">
    <w:abstractNumId w:val="27"/>
  </w:num>
  <w:num w:numId="35" w16cid:durableId="1650089511">
    <w:abstractNumId w:val="35"/>
  </w:num>
  <w:num w:numId="36" w16cid:durableId="806239817">
    <w:abstractNumId w:val="33"/>
  </w:num>
  <w:num w:numId="37" w16cid:durableId="46731618">
    <w:abstractNumId w:val="37"/>
  </w:num>
  <w:num w:numId="38" w16cid:durableId="195756498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747"/>
    <w:rsid w:val="00014A26"/>
    <w:rsid w:val="000233C5"/>
    <w:rsid w:val="00041B97"/>
    <w:rsid w:val="0005275D"/>
    <w:rsid w:val="00055244"/>
    <w:rsid w:val="0008600A"/>
    <w:rsid w:val="00092292"/>
    <w:rsid w:val="000B7F9B"/>
    <w:rsid w:val="000C2385"/>
    <w:rsid w:val="000E5E67"/>
    <w:rsid w:val="00106FCE"/>
    <w:rsid w:val="00111D32"/>
    <w:rsid w:val="00147EF4"/>
    <w:rsid w:val="0016636F"/>
    <w:rsid w:val="00170E50"/>
    <w:rsid w:val="00175AA4"/>
    <w:rsid w:val="00184485"/>
    <w:rsid w:val="001B330F"/>
    <w:rsid w:val="001B577F"/>
    <w:rsid w:val="001C1834"/>
    <w:rsid w:val="001D4A30"/>
    <w:rsid w:val="001D5E79"/>
    <w:rsid w:val="001F64D0"/>
    <w:rsid w:val="00215591"/>
    <w:rsid w:val="00222A80"/>
    <w:rsid w:val="00233601"/>
    <w:rsid w:val="002350D5"/>
    <w:rsid w:val="00242FE5"/>
    <w:rsid w:val="0024762B"/>
    <w:rsid w:val="00266E9E"/>
    <w:rsid w:val="00270746"/>
    <w:rsid w:val="00273095"/>
    <w:rsid w:val="002846AE"/>
    <w:rsid w:val="00286492"/>
    <w:rsid w:val="00292B0D"/>
    <w:rsid w:val="002A7DB4"/>
    <w:rsid w:val="002B047A"/>
    <w:rsid w:val="002C13E6"/>
    <w:rsid w:val="002C323E"/>
    <w:rsid w:val="002D4165"/>
    <w:rsid w:val="002F5318"/>
    <w:rsid w:val="00310E6A"/>
    <w:rsid w:val="0031320A"/>
    <w:rsid w:val="00331021"/>
    <w:rsid w:val="00334D7B"/>
    <w:rsid w:val="00346D87"/>
    <w:rsid w:val="003530D5"/>
    <w:rsid w:val="00355747"/>
    <w:rsid w:val="0037032E"/>
    <w:rsid w:val="003744AE"/>
    <w:rsid w:val="00375F9F"/>
    <w:rsid w:val="0038424B"/>
    <w:rsid w:val="003A1122"/>
    <w:rsid w:val="003A799E"/>
    <w:rsid w:val="00403152"/>
    <w:rsid w:val="00404253"/>
    <w:rsid w:val="00424A1E"/>
    <w:rsid w:val="00451F36"/>
    <w:rsid w:val="00455A7E"/>
    <w:rsid w:val="00460BCB"/>
    <w:rsid w:val="00461459"/>
    <w:rsid w:val="0049414D"/>
    <w:rsid w:val="00494A14"/>
    <w:rsid w:val="00497469"/>
    <w:rsid w:val="004C1F5C"/>
    <w:rsid w:val="004C6CB6"/>
    <w:rsid w:val="004E7E2E"/>
    <w:rsid w:val="00500B1D"/>
    <w:rsid w:val="00513ACF"/>
    <w:rsid w:val="005324ED"/>
    <w:rsid w:val="00555B93"/>
    <w:rsid w:val="00557C9F"/>
    <w:rsid w:val="00560F2D"/>
    <w:rsid w:val="00566682"/>
    <w:rsid w:val="00575C4A"/>
    <w:rsid w:val="00591AFE"/>
    <w:rsid w:val="0059694F"/>
    <w:rsid w:val="005A5F38"/>
    <w:rsid w:val="005A72C2"/>
    <w:rsid w:val="005C32D1"/>
    <w:rsid w:val="005C79A0"/>
    <w:rsid w:val="005D0EED"/>
    <w:rsid w:val="005D6D02"/>
    <w:rsid w:val="005E6B3F"/>
    <w:rsid w:val="005F1296"/>
    <w:rsid w:val="005F2991"/>
    <w:rsid w:val="00643B7F"/>
    <w:rsid w:val="006457D5"/>
    <w:rsid w:val="00661078"/>
    <w:rsid w:val="00664DC0"/>
    <w:rsid w:val="00674E6A"/>
    <w:rsid w:val="006750D5"/>
    <w:rsid w:val="006753A2"/>
    <w:rsid w:val="006767AF"/>
    <w:rsid w:val="006A7DE3"/>
    <w:rsid w:val="006B49D5"/>
    <w:rsid w:val="006B67F3"/>
    <w:rsid w:val="006C1558"/>
    <w:rsid w:val="006C76AB"/>
    <w:rsid w:val="006D68D1"/>
    <w:rsid w:val="006E0073"/>
    <w:rsid w:val="006F2923"/>
    <w:rsid w:val="006F4F1E"/>
    <w:rsid w:val="00723103"/>
    <w:rsid w:val="007502F6"/>
    <w:rsid w:val="00752A50"/>
    <w:rsid w:val="00763754"/>
    <w:rsid w:val="00777C27"/>
    <w:rsid w:val="007B29D2"/>
    <w:rsid w:val="007E01B8"/>
    <w:rsid w:val="007E2578"/>
    <w:rsid w:val="007E40C4"/>
    <w:rsid w:val="008042A8"/>
    <w:rsid w:val="00822350"/>
    <w:rsid w:val="00830572"/>
    <w:rsid w:val="00840A9F"/>
    <w:rsid w:val="008605AB"/>
    <w:rsid w:val="00866FE1"/>
    <w:rsid w:val="00881217"/>
    <w:rsid w:val="008D248C"/>
    <w:rsid w:val="008D5F1F"/>
    <w:rsid w:val="008D65D6"/>
    <w:rsid w:val="008E071E"/>
    <w:rsid w:val="008E3413"/>
    <w:rsid w:val="00905985"/>
    <w:rsid w:val="009271CF"/>
    <w:rsid w:val="00927EF3"/>
    <w:rsid w:val="00970CA5"/>
    <w:rsid w:val="00971119"/>
    <w:rsid w:val="00985ED3"/>
    <w:rsid w:val="009A45BC"/>
    <w:rsid w:val="009D3DF3"/>
    <w:rsid w:val="009E55E6"/>
    <w:rsid w:val="009F5591"/>
    <w:rsid w:val="009F70A6"/>
    <w:rsid w:val="00A31E12"/>
    <w:rsid w:val="00A37406"/>
    <w:rsid w:val="00A45E4E"/>
    <w:rsid w:val="00A5121F"/>
    <w:rsid w:val="00A52669"/>
    <w:rsid w:val="00A6536D"/>
    <w:rsid w:val="00A65C4B"/>
    <w:rsid w:val="00A73E68"/>
    <w:rsid w:val="00A95E12"/>
    <w:rsid w:val="00AD2E87"/>
    <w:rsid w:val="00AE45DC"/>
    <w:rsid w:val="00AE5C51"/>
    <w:rsid w:val="00AE61FA"/>
    <w:rsid w:val="00AF5CD5"/>
    <w:rsid w:val="00B04E04"/>
    <w:rsid w:val="00B061B3"/>
    <w:rsid w:val="00B07ED3"/>
    <w:rsid w:val="00B13F6B"/>
    <w:rsid w:val="00B164E2"/>
    <w:rsid w:val="00B436B4"/>
    <w:rsid w:val="00B5659A"/>
    <w:rsid w:val="00B61C1A"/>
    <w:rsid w:val="00B9393B"/>
    <w:rsid w:val="00BB2072"/>
    <w:rsid w:val="00BE45D2"/>
    <w:rsid w:val="00BE6AB7"/>
    <w:rsid w:val="00C013DE"/>
    <w:rsid w:val="00C017BB"/>
    <w:rsid w:val="00C04AFA"/>
    <w:rsid w:val="00C05568"/>
    <w:rsid w:val="00C106DE"/>
    <w:rsid w:val="00C25B1B"/>
    <w:rsid w:val="00C3255B"/>
    <w:rsid w:val="00C34564"/>
    <w:rsid w:val="00C43914"/>
    <w:rsid w:val="00C53A6B"/>
    <w:rsid w:val="00C53B17"/>
    <w:rsid w:val="00C64664"/>
    <w:rsid w:val="00C66A2E"/>
    <w:rsid w:val="00C727B1"/>
    <w:rsid w:val="00C86B4D"/>
    <w:rsid w:val="00CC12B5"/>
    <w:rsid w:val="00CC3D29"/>
    <w:rsid w:val="00CD5B7A"/>
    <w:rsid w:val="00CF0FAF"/>
    <w:rsid w:val="00D0668E"/>
    <w:rsid w:val="00D24EBC"/>
    <w:rsid w:val="00D314AD"/>
    <w:rsid w:val="00D410E6"/>
    <w:rsid w:val="00D64FCA"/>
    <w:rsid w:val="00D97D08"/>
    <w:rsid w:val="00DA34B5"/>
    <w:rsid w:val="00DA6088"/>
    <w:rsid w:val="00DB6A91"/>
    <w:rsid w:val="00DD3174"/>
    <w:rsid w:val="00DD4603"/>
    <w:rsid w:val="00DD59FF"/>
    <w:rsid w:val="00DE1434"/>
    <w:rsid w:val="00DF4B32"/>
    <w:rsid w:val="00DF5A69"/>
    <w:rsid w:val="00E0746A"/>
    <w:rsid w:val="00E305F4"/>
    <w:rsid w:val="00E41BD0"/>
    <w:rsid w:val="00E4635F"/>
    <w:rsid w:val="00E9603C"/>
    <w:rsid w:val="00EB5AA9"/>
    <w:rsid w:val="00EC0694"/>
    <w:rsid w:val="00ED58AA"/>
    <w:rsid w:val="00EF5935"/>
    <w:rsid w:val="00EF5943"/>
    <w:rsid w:val="00F0152C"/>
    <w:rsid w:val="00F02409"/>
    <w:rsid w:val="00F02905"/>
    <w:rsid w:val="00F169F6"/>
    <w:rsid w:val="00F4280A"/>
    <w:rsid w:val="00F44622"/>
    <w:rsid w:val="00F6022C"/>
    <w:rsid w:val="00F77CE5"/>
    <w:rsid w:val="00F83AAA"/>
    <w:rsid w:val="00F97CB4"/>
    <w:rsid w:val="00FA5788"/>
    <w:rsid w:val="00FE0058"/>
    <w:rsid w:val="00FF4EF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CAD34"/>
  <w15:docId w15:val="{1064A43D-7B2D-49E5-AEBC-0977CCBA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24762B"/>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B061B3"/>
    <w:pPr>
      <w:keepNext/>
      <w:outlineLvl w:val="0"/>
    </w:pPr>
    <w:rPr>
      <w:b/>
      <w:bCs/>
      <w:kern w:val="32"/>
      <w:sz w:val="28"/>
      <w:szCs w:val="32"/>
    </w:rPr>
  </w:style>
  <w:style w:type="paragraph" w:styleId="Titre2">
    <w:name w:val="heading 2"/>
    <w:basedOn w:val="Normal"/>
    <w:next w:val="Normal"/>
    <w:link w:val="Titre2Car"/>
    <w:uiPriority w:val="9"/>
    <w:unhideWhenUsed/>
    <w:rsid w:val="009271CF"/>
    <w:pPr>
      <w:keepNext/>
      <w:keepLines/>
      <w:numPr>
        <w:ilvl w:val="1"/>
        <w:numId w:val="14"/>
      </w:numPr>
      <w:ind w:left="714" w:hanging="357"/>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1B330F"/>
    <w:pPr>
      <w:keepNext/>
      <w:keepLines/>
      <w:numPr>
        <w:ilvl w:val="2"/>
        <w:numId w:val="14"/>
      </w:numPr>
      <w:outlineLvl w:val="2"/>
    </w:pPr>
    <w:rPr>
      <w:rFonts w:eastAsiaTheme="majorEastAsia" w:cstheme="majorBidi"/>
      <w:b/>
      <w:bCs/>
    </w:rPr>
  </w:style>
  <w:style w:type="paragraph" w:styleId="Titre4">
    <w:name w:val="heading 4"/>
    <w:basedOn w:val="Normal"/>
    <w:next w:val="Normal"/>
    <w:link w:val="Titre4Car"/>
    <w:uiPriority w:val="9"/>
    <w:semiHidden/>
    <w:unhideWhenUsed/>
    <w:qFormat/>
    <w:rsid w:val="009271CF"/>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qFormat/>
    <w:rsid w:val="002D4165"/>
    <w:rPr>
      <w:rFonts w:eastAsiaTheme="majorEastAsia" w:cstheme="majorBidi"/>
      <w:b/>
      <w:iCs/>
      <w:spacing w:val="15"/>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uiPriority w:val="34"/>
    <w:qFormat/>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character" w:styleId="lev">
    <w:name w:val="Strong"/>
    <w:basedOn w:val="Policepardfaut"/>
    <w:uiPriority w:val="22"/>
    <w:qFormat/>
    <w:rsid w:val="0024762B"/>
    <w:rPr>
      <w:b/>
      <w:bCs/>
    </w:rPr>
  </w:style>
  <w:style w:type="paragraph" w:styleId="Citation">
    <w:name w:val="Quote"/>
    <w:basedOn w:val="Normal"/>
    <w:next w:val="Normal"/>
    <w:link w:val="CitationCar"/>
    <w:uiPriority w:val="29"/>
    <w:rsid w:val="0024762B"/>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4762B"/>
    <w:rPr>
      <w:i/>
      <w:iCs/>
      <w:color w:val="404040" w:themeColor="text1" w:themeTint="BF"/>
    </w:rPr>
  </w:style>
  <w:style w:type="paragraph" w:styleId="Listepuces">
    <w:name w:val="List Bullet"/>
    <w:basedOn w:val="Normal"/>
    <w:link w:val="ListepucesCar"/>
    <w:uiPriority w:val="99"/>
    <w:unhideWhenUsed/>
    <w:rsid w:val="002D4165"/>
    <w:pPr>
      <w:numPr>
        <w:numId w:val="25"/>
      </w:numPr>
      <w:contextualSpacing/>
    </w:pPr>
  </w:style>
  <w:style w:type="paragraph" w:customStyle="1" w:styleId="Aufzhlung">
    <w:name w:val="Aufzählung"/>
    <w:basedOn w:val="Listepuces"/>
    <w:link w:val="AufzhlungZchn"/>
    <w:qFormat/>
    <w:rsid w:val="002D4165"/>
  </w:style>
  <w:style w:type="character" w:customStyle="1" w:styleId="ListepucesCar">
    <w:name w:val="Liste à puces Car"/>
    <w:basedOn w:val="Policepardfaut"/>
    <w:link w:val="Listepuces"/>
    <w:uiPriority w:val="99"/>
    <w:rsid w:val="002D4165"/>
  </w:style>
  <w:style w:type="character" w:customStyle="1" w:styleId="AufzhlungZchn">
    <w:name w:val="Aufzählung Zchn"/>
    <w:basedOn w:val="ListepucesCar"/>
    <w:link w:val="Aufzhlung"/>
    <w:rsid w:val="002D4165"/>
  </w:style>
  <w:style w:type="paragraph" w:styleId="Notedebasdepage">
    <w:name w:val="footnote text"/>
    <w:basedOn w:val="Normal"/>
    <w:link w:val="NotedebasdepageCar"/>
    <w:uiPriority w:val="99"/>
    <w:unhideWhenUsed/>
    <w:rsid w:val="00752A50"/>
    <w:rPr>
      <w:sz w:val="20"/>
      <w:szCs w:val="20"/>
    </w:rPr>
  </w:style>
  <w:style w:type="character" w:customStyle="1" w:styleId="NotedebasdepageCar">
    <w:name w:val="Note de bas de page Car"/>
    <w:basedOn w:val="Policepardfaut"/>
    <w:link w:val="Notedebasdepage"/>
    <w:uiPriority w:val="99"/>
    <w:rsid w:val="00752A50"/>
    <w:rPr>
      <w:sz w:val="20"/>
      <w:szCs w:val="20"/>
    </w:rPr>
  </w:style>
  <w:style w:type="character" w:styleId="Appelnotedebasdep">
    <w:name w:val="footnote reference"/>
    <w:basedOn w:val="Policepardfaut"/>
    <w:uiPriority w:val="99"/>
    <w:semiHidden/>
    <w:unhideWhenUsed/>
    <w:rsid w:val="00752A50"/>
    <w:rPr>
      <w:vertAlign w:val="superscript"/>
    </w:rPr>
  </w:style>
  <w:style w:type="paragraph" w:styleId="Notedefin">
    <w:name w:val="endnote text"/>
    <w:basedOn w:val="Normal"/>
    <w:link w:val="NotedefinCar"/>
    <w:uiPriority w:val="99"/>
    <w:semiHidden/>
    <w:unhideWhenUsed/>
    <w:rsid w:val="00106FCE"/>
    <w:rPr>
      <w:sz w:val="20"/>
      <w:szCs w:val="20"/>
    </w:rPr>
  </w:style>
  <w:style w:type="character" w:customStyle="1" w:styleId="NotedefinCar">
    <w:name w:val="Note de fin Car"/>
    <w:basedOn w:val="Policepardfaut"/>
    <w:link w:val="Notedefin"/>
    <w:uiPriority w:val="99"/>
    <w:semiHidden/>
    <w:rsid w:val="00106FCE"/>
    <w:rPr>
      <w:sz w:val="20"/>
      <w:szCs w:val="20"/>
    </w:rPr>
  </w:style>
  <w:style w:type="character" w:styleId="Appeldenotedefin">
    <w:name w:val="endnote reference"/>
    <w:basedOn w:val="Policepardfaut"/>
    <w:uiPriority w:val="99"/>
    <w:semiHidden/>
    <w:unhideWhenUsed/>
    <w:rsid w:val="00106FCE"/>
    <w:rPr>
      <w:vertAlign w:val="superscript"/>
    </w:rPr>
  </w:style>
  <w:style w:type="paragraph" w:styleId="NormalWeb">
    <w:name w:val="Normal (Web)"/>
    <w:basedOn w:val="Normal"/>
    <w:uiPriority w:val="99"/>
    <w:unhideWhenUsed/>
    <w:rsid w:val="00106FCE"/>
    <w:pPr>
      <w:widowControl/>
      <w:overflowPunct/>
      <w:autoSpaceDE/>
      <w:autoSpaceDN/>
      <w:adjustRightInd/>
      <w:spacing w:before="100" w:beforeAutospacing="1" w:after="100" w:afterAutospacing="1"/>
      <w:textAlignment w:val="auto"/>
    </w:pPr>
    <w:rPr>
      <w:rFonts w:ascii="Arial" w:eastAsia="Times New Roman" w:hAnsi="Arial" w:cs="Arial"/>
      <w:lang w:eastAsia="de-CH"/>
    </w:rPr>
  </w:style>
  <w:style w:type="character" w:styleId="Lienhypertextesuivivisit">
    <w:name w:val="FollowedHyperlink"/>
    <w:basedOn w:val="Policepardfaut"/>
    <w:uiPriority w:val="99"/>
    <w:semiHidden/>
    <w:unhideWhenUsed/>
    <w:rsid w:val="004C1F5C"/>
    <w:rPr>
      <w:color w:val="800080" w:themeColor="followedHyperlink"/>
      <w:u w:val="single"/>
    </w:rPr>
  </w:style>
  <w:style w:type="character" w:styleId="Mentionnonrsolue">
    <w:name w:val="Unresolved Mention"/>
    <w:basedOn w:val="Policepardfaut"/>
    <w:uiPriority w:val="99"/>
    <w:semiHidden/>
    <w:unhideWhenUsed/>
    <w:rsid w:val="002C323E"/>
    <w:rPr>
      <w:color w:val="605E5C"/>
      <w:shd w:val="clear" w:color="auto" w:fill="E1DFDD"/>
    </w:rPr>
  </w:style>
  <w:style w:type="character" w:styleId="Marquedecommentaire">
    <w:name w:val="annotation reference"/>
    <w:basedOn w:val="Policepardfaut"/>
    <w:uiPriority w:val="99"/>
    <w:semiHidden/>
    <w:unhideWhenUsed/>
    <w:rsid w:val="00AE61FA"/>
    <w:rPr>
      <w:sz w:val="16"/>
      <w:szCs w:val="16"/>
    </w:rPr>
  </w:style>
  <w:style w:type="paragraph" w:styleId="Commentaire">
    <w:name w:val="annotation text"/>
    <w:basedOn w:val="Normal"/>
    <w:link w:val="CommentaireCar"/>
    <w:uiPriority w:val="99"/>
    <w:unhideWhenUsed/>
    <w:rsid w:val="00AE61FA"/>
    <w:rPr>
      <w:sz w:val="20"/>
      <w:szCs w:val="20"/>
    </w:rPr>
  </w:style>
  <w:style w:type="character" w:customStyle="1" w:styleId="CommentaireCar">
    <w:name w:val="Commentaire Car"/>
    <w:basedOn w:val="Policepardfaut"/>
    <w:link w:val="Commentaire"/>
    <w:uiPriority w:val="99"/>
    <w:rsid w:val="00AE61FA"/>
    <w:rPr>
      <w:sz w:val="20"/>
      <w:szCs w:val="20"/>
    </w:rPr>
  </w:style>
  <w:style w:type="paragraph" w:styleId="Objetducommentaire">
    <w:name w:val="annotation subject"/>
    <w:basedOn w:val="Commentaire"/>
    <w:next w:val="Commentaire"/>
    <w:link w:val="ObjetducommentaireCar"/>
    <w:uiPriority w:val="99"/>
    <w:semiHidden/>
    <w:unhideWhenUsed/>
    <w:rsid w:val="000E5E67"/>
    <w:rPr>
      <w:b/>
      <w:bCs/>
    </w:rPr>
  </w:style>
  <w:style w:type="character" w:customStyle="1" w:styleId="ObjetducommentaireCar">
    <w:name w:val="Objet du commentaire Car"/>
    <w:basedOn w:val="CommentaireCar"/>
    <w:link w:val="Objetducommentaire"/>
    <w:uiPriority w:val="99"/>
    <w:semiHidden/>
    <w:rsid w:val="000E5E67"/>
    <w:rPr>
      <w:b/>
      <w:bCs/>
      <w:sz w:val="20"/>
      <w:szCs w:val="20"/>
    </w:rPr>
  </w:style>
  <w:style w:type="paragraph" w:styleId="Rvision">
    <w:name w:val="Revision"/>
    <w:hidden/>
    <w:uiPriority w:val="99"/>
    <w:semiHidden/>
    <w:rsid w:val="003132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02339">
      <w:bodyDiv w:val="1"/>
      <w:marLeft w:val="0"/>
      <w:marRight w:val="0"/>
      <w:marTop w:val="0"/>
      <w:marBottom w:val="0"/>
      <w:divBdr>
        <w:top w:val="none" w:sz="0" w:space="0" w:color="auto"/>
        <w:left w:val="none" w:sz="0" w:space="0" w:color="auto"/>
        <w:bottom w:val="none" w:sz="0" w:space="0" w:color="auto"/>
        <w:right w:val="none" w:sz="0" w:space="0" w:color="auto"/>
      </w:divBdr>
    </w:div>
    <w:div w:id="1117527789">
      <w:bodyDiv w:val="1"/>
      <w:marLeft w:val="0"/>
      <w:marRight w:val="0"/>
      <w:marTop w:val="0"/>
      <w:marBottom w:val="0"/>
      <w:divBdr>
        <w:top w:val="none" w:sz="0" w:space="0" w:color="auto"/>
        <w:left w:val="none" w:sz="0" w:space="0" w:color="auto"/>
        <w:bottom w:val="none" w:sz="0" w:space="0" w:color="auto"/>
        <w:right w:val="none" w:sz="0" w:space="0" w:color="auto"/>
      </w:divBdr>
    </w:div>
    <w:div w:id="1798066524">
      <w:bodyDiv w:val="1"/>
      <w:marLeft w:val="0"/>
      <w:marRight w:val="0"/>
      <w:marTop w:val="0"/>
      <w:marBottom w:val="0"/>
      <w:divBdr>
        <w:top w:val="none" w:sz="0" w:space="0" w:color="auto"/>
        <w:left w:val="none" w:sz="0" w:space="0" w:color="auto"/>
        <w:bottom w:val="none" w:sz="0" w:space="0" w:color="auto"/>
        <w:right w:val="none" w:sz="0" w:space="0" w:color="auto"/>
      </w:divBdr>
    </w:div>
    <w:div w:id="206486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fs.admin.ch/bfs/fr/home/registres/registre-personnes/se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dex.ch"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bfs.admin.ch/bfs/fr/home/statistiques/politique/votations/voteinfo.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A95E93A38BC224EB9CC339381F48005" ma:contentTypeVersion="15" ma:contentTypeDescription="Ein neues Dokument erstellen." ma:contentTypeScope="" ma:versionID="6f083ba465ee3f03f7353739ddf8f980">
  <xsd:schema xmlns:xsd="http://www.w3.org/2001/XMLSchema" xmlns:xs="http://www.w3.org/2001/XMLSchema" xmlns:p="http://schemas.microsoft.com/office/2006/metadata/properties" xmlns:ns2="2172ba3c-96ac-4977-a517-c11e89c8e448" xmlns:ns3="e9e27766-0d7a-4ba8-98bc-9a292e329106" targetNamespace="http://schemas.microsoft.com/office/2006/metadata/properties" ma:root="true" ma:fieldsID="4b5d029bfc7d0af0a497edc1b33da836" ns2:_="" ns3:_="">
    <xsd:import namespace="2172ba3c-96ac-4977-a517-c11e89c8e448"/>
    <xsd:import namespace="e9e27766-0d7a-4ba8-98bc-9a292e32910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ba3c-96ac-4977-a517-c11e89c8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318ee09-86b9-4afa-97b9-9e8d3a37c9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27766-0d7a-4ba8-98bc-9a292e3291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ae748c-77c8-413d-947d-6e9d842278ef}" ma:internalName="TaxCatchAll" ma:showField="CatchAllData" ma:web="e9e27766-0d7a-4ba8-98bc-9a292e3291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921619-1C60-4AC8-AEC9-97214FB14520}">
  <ds:schemaRefs>
    <ds:schemaRef ds:uri="http://schemas.openxmlformats.org/officeDocument/2006/bibliography"/>
  </ds:schemaRefs>
</ds:datastoreItem>
</file>

<file path=customXml/itemProps2.xml><?xml version="1.0" encoding="utf-8"?>
<ds:datastoreItem xmlns:ds="http://schemas.openxmlformats.org/officeDocument/2006/customXml" ds:itemID="{B8FAEA8B-2799-4BA6-833B-E4F310002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ba3c-96ac-4977-a517-c11e89c8e448"/>
    <ds:schemaRef ds:uri="e9e27766-0d7a-4ba8-98bc-9a292e32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B9ABEA-5969-45DF-9E53-29152A766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2210</Words>
  <Characters>12158</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Meier</dc:creator>
  <cp:lastModifiedBy>Giblaine Laëtitia</cp:lastModifiedBy>
  <cp:revision>86</cp:revision>
  <dcterms:created xsi:type="dcterms:W3CDTF">2022-09-25T22:26:00Z</dcterms:created>
  <dcterms:modified xsi:type="dcterms:W3CDTF">2025-04-14T09:02:00Z</dcterms:modified>
</cp:coreProperties>
</file>